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B7BB12" w14:textId="19BCCE24" w:rsidR="004F1587" w:rsidRPr="0026557E" w:rsidRDefault="0000206C" w:rsidP="0000206C">
      <w:pPr>
        <w:jc w:val="center"/>
        <w:rPr>
          <w:rFonts w:ascii="Times New Roman" w:hAnsi="Times New Roman" w:cs="Times New Roman"/>
          <w:b/>
          <w:bCs/>
          <w:sz w:val="24"/>
          <w:szCs w:val="24"/>
          <w:lang w:val="es-CO"/>
        </w:rPr>
      </w:pPr>
      <w:r w:rsidRPr="0026557E">
        <w:rPr>
          <w:rFonts w:ascii="Times New Roman" w:hAnsi="Times New Roman" w:cs="Times New Roman"/>
          <w:b/>
          <w:bCs/>
          <w:sz w:val="24"/>
          <w:szCs w:val="24"/>
          <w:lang w:val="es-CO"/>
        </w:rPr>
        <w:t xml:space="preserve">Apéndice </w:t>
      </w:r>
      <w:r w:rsidR="008906E5" w:rsidRPr="0026557E">
        <w:rPr>
          <w:rFonts w:ascii="Times New Roman" w:hAnsi="Times New Roman" w:cs="Times New Roman"/>
          <w:b/>
          <w:bCs/>
          <w:sz w:val="24"/>
          <w:szCs w:val="24"/>
          <w:lang w:val="es-CO"/>
        </w:rPr>
        <w:t>K</w:t>
      </w:r>
      <w:r w:rsidRPr="0026557E">
        <w:rPr>
          <w:rFonts w:ascii="Times New Roman" w:hAnsi="Times New Roman" w:cs="Times New Roman"/>
          <w:b/>
          <w:bCs/>
          <w:sz w:val="24"/>
          <w:szCs w:val="24"/>
          <w:lang w:val="es-CO"/>
        </w:rPr>
        <w:t xml:space="preserve">. </w:t>
      </w:r>
      <w:r w:rsidR="008906E5" w:rsidRPr="0026557E">
        <w:rPr>
          <w:rFonts w:ascii="Times New Roman" w:hAnsi="Times New Roman" w:cs="Times New Roman"/>
          <w:b/>
          <w:bCs/>
          <w:sz w:val="24"/>
          <w:szCs w:val="24"/>
          <w:lang w:val="es-CO"/>
        </w:rPr>
        <w:t>Estructura de la propuesta MITT-Salud</w:t>
      </w:r>
    </w:p>
    <w:p w14:paraId="3F3AEBBF" w14:textId="77777777" w:rsidR="0000206C" w:rsidRPr="0026557E" w:rsidRDefault="0000206C" w:rsidP="0000206C">
      <w:pPr>
        <w:jc w:val="center"/>
        <w:rPr>
          <w:rFonts w:ascii="Times New Roman" w:hAnsi="Times New Roman" w:cs="Times New Roman"/>
          <w:b/>
          <w:bCs/>
          <w:sz w:val="24"/>
          <w:szCs w:val="24"/>
          <w:lang w:val="es-CO"/>
        </w:rPr>
      </w:pPr>
    </w:p>
    <w:p w14:paraId="57361D56" w14:textId="5ABB4343" w:rsidR="00A90D3E" w:rsidRPr="0026557E" w:rsidRDefault="00A90D3E" w:rsidP="00A90D3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Reconociendo que toda transferencia tecnológica debe responder a brechas concretas del sistema de salud en Santander, MITT-Salud parte de la identificación de las necesidades tecnológicas locales para asegurar la pertinencia y el impacto de cada iniciativa. A partir de este diagnóstico, se despliegan seis pilares estratégicos que estructuran de forma coherente y flexible todo el proceso de transferencia, desde el diagnóstico inicial hasta el escalamiento sostenible de cada innovación</w:t>
      </w:r>
      <w:r w:rsidR="002E76BE" w:rsidRPr="0026557E">
        <w:rPr>
          <w:rFonts w:ascii="Times New Roman" w:hAnsi="Times New Roman" w:cs="Times New Roman"/>
          <w:sz w:val="24"/>
          <w:szCs w:val="24"/>
          <w:lang w:val="es-CO" w:eastAsia="es-CO"/>
        </w:rPr>
        <w:t>.</w:t>
      </w:r>
    </w:p>
    <w:p w14:paraId="4D154C05" w14:textId="77777777" w:rsidR="00752AAE" w:rsidRPr="0026557E" w:rsidRDefault="00A90D3E" w:rsidP="00752AA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 xml:space="preserve">Asimismo, la propuesta integra tres ejes operativos esenciales para asegurar un ciclo de mejora continua: la </w:t>
      </w:r>
      <w:r w:rsidRPr="0026557E">
        <w:rPr>
          <w:rFonts w:ascii="Times New Roman" w:hAnsi="Times New Roman" w:cs="Times New Roman"/>
          <w:i/>
          <w:iCs/>
          <w:sz w:val="24"/>
          <w:szCs w:val="24"/>
          <w:lang w:val="es-CO" w:eastAsia="es-CO"/>
        </w:rPr>
        <w:t>documentación sistemática de lecciones aprendidas y buenas prácticas</w:t>
      </w:r>
      <w:r w:rsidRPr="0026557E">
        <w:rPr>
          <w:rFonts w:ascii="Times New Roman" w:hAnsi="Times New Roman" w:cs="Times New Roman"/>
          <w:sz w:val="24"/>
          <w:szCs w:val="24"/>
          <w:lang w:val="es-CO" w:eastAsia="es-CO"/>
        </w:rPr>
        <w:t xml:space="preserve"> en cada fase, que alimenta un banco de conocimiento y agiliza futuros procesos de TT en salud; la </w:t>
      </w:r>
      <w:r w:rsidRPr="0026557E">
        <w:rPr>
          <w:rFonts w:ascii="Times New Roman" w:hAnsi="Times New Roman" w:cs="Times New Roman"/>
          <w:i/>
          <w:iCs/>
          <w:sz w:val="24"/>
          <w:szCs w:val="24"/>
          <w:lang w:val="es-CO" w:eastAsia="es-CO"/>
        </w:rPr>
        <w:t>formación de los equipos</w:t>
      </w:r>
      <w:r w:rsidRPr="0026557E">
        <w:rPr>
          <w:rFonts w:ascii="Times New Roman" w:hAnsi="Times New Roman" w:cs="Times New Roman"/>
          <w:sz w:val="24"/>
          <w:szCs w:val="24"/>
          <w:lang w:val="es-CO" w:eastAsia="es-CO"/>
        </w:rPr>
        <w:t xml:space="preserve">, capacitando en la aplicación de criterios de decisión y gestión tecnológica; y la </w:t>
      </w:r>
      <w:r w:rsidRPr="0026557E">
        <w:rPr>
          <w:rFonts w:ascii="Times New Roman" w:hAnsi="Times New Roman" w:cs="Times New Roman"/>
          <w:i/>
          <w:iCs/>
          <w:sz w:val="24"/>
          <w:szCs w:val="24"/>
          <w:lang w:val="es-CO" w:eastAsia="es-CO"/>
        </w:rPr>
        <w:t>comunicación</w:t>
      </w:r>
      <w:r w:rsidRPr="0026557E">
        <w:rPr>
          <w:rFonts w:ascii="Times New Roman" w:hAnsi="Times New Roman" w:cs="Times New Roman"/>
          <w:sz w:val="24"/>
          <w:szCs w:val="24"/>
          <w:lang w:val="es-CO" w:eastAsia="es-CO"/>
        </w:rPr>
        <w:t xml:space="preserve"> permanente entre reguladores, mentores y usuarios finales. Estos ejes se entrelazan con las seis etapas de la OMPI (Identificar, Proteger, Reducir riesgo, Comercializar, Negociar y Evaluar impacto) para integrar de forma coherente los factores de entorno, tecnología y actores, orientando la formalización de acuerdos de </w:t>
      </w:r>
      <w:proofErr w:type="spellStart"/>
      <w:r w:rsidRPr="0026557E">
        <w:rPr>
          <w:rFonts w:ascii="Times New Roman" w:hAnsi="Times New Roman" w:cs="Times New Roman"/>
          <w:sz w:val="24"/>
          <w:szCs w:val="24"/>
          <w:lang w:val="es-CO" w:eastAsia="es-CO"/>
        </w:rPr>
        <w:t>co-desarrollo</w:t>
      </w:r>
      <w:proofErr w:type="spellEnd"/>
      <w:r w:rsidRPr="0026557E">
        <w:rPr>
          <w:rFonts w:ascii="Times New Roman" w:hAnsi="Times New Roman" w:cs="Times New Roman"/>
          <w:sz w:val="24"/>
          <w:szCs w:val="24"/>
          <w:lang w:val="es-CO" w:eastAsia="es-CO"/>
        </w:rPr>
        <w:t xml:space="preserve">, licenciamiento o adquisición de activos complementarios. Los diferentes </w:t>
      </w:r>
      <w:proofErr w:type="spellStart"/>
      <w:r w:rsidRPr="0026557E">
        <w:rPr>
          <w:rFonts w:ascii="Times New Roman" w:hAnsi="Times New Roman" w:cs="Times New Roman"/>
          <w:sz w:val="24"/>
          <w:szCs w:val="24"/>
          <w:lang w:val="es-CO" w:eastAsia="es-CO"/>
        </w:rPr>
        <w:t>scorings</w:t>
      </w:r>
      <w:proofErr w:type="spellEnd"/>
      <w:r w:rsidRPr="0026557E">
        <w:rPr>
          <w:rFonts w:ascii="Times New Roman" w:hAnsi="Times New Roman" w:cs="Times New Roman"/>
          <w:sz w:val="24"/>
          <w:szCs w:val="24"/>
          <w:lang w:val="es-CO" w:eastAsia="es-CO"/>
        </w:rPr>
        <w:t xml:space="preserve"> TRL–CRL–BRL–IPRL–FRL–TMRL–SRL permite priorizar proyectos y definir la estrategia de transferencia más adecuada. Gracias a esta metodología integradora, las instituciones del SNCTI y el sector salud de Santander no solo alinean sus procesos con estándares nacionales e internacionales, sino que también acelera el escalamiento de innovaciones, garantizan la sostenibilidad financiera y promueven la equidad en el acceso a nuevas tecnologías sanitarias.</w:t>
      </w:r>
    </w:p>
    <w:p w14:paraId="548CD06E" w14:textId="70D715B9" w:rsidR="002E76BE" w:rsidRPr="0026557E" w:rsidRDefault="00752AAE" w:rsidP="00752AA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A continuación, se describen los pasos realizados para la consolidación de la propuesta:</w:t>
      </w:r>
    </w:p>
    <w:p w14:paraId="5AEF1458" w14:textId="77777777" w:rsidR="002E76BE" w:rsidRPr="0026557E" w:rsidRDefault="002E76BE" w:rsidP="00A90D3E">
      <w:pPr>
        <w:spacing w:line="480" w:lineRule="auto"/>
        <w:ind w:firstLine="720"/>
        <w:jc w:val="both"/>
        <w:rPr>
          <w:rFonts w:ascii="Times New Roman" w:hAnsi="Times New Roman" w:cs="Times New Roman"/>
          <w:sz w:val="24"/>
          <w:szCs w:val="24"/>
          <w:lang w:val="es-CO" w:eastAsia="es-CO"/>
        </w:rPr>
      </w:pPr>
    </w:p>
    <w:p w14:paraId="7373A7B8" w14:textId="1238C974" w:rsidR="002E76BE" w:rsidRPr="0026557E" w:rsidRDefault="00472ED3" w:rsidP="00472ED3">
      <w:pPr>
        <w:pStyle w:val="Ttulo1"/>
        <w:numPr>
          <w:ilvl w:val="0"/>
          <w:numId w:val="5"/>
        </w:numPr>
        <w:rPr>
          <w:rFonts w:cs="Times New Roman"/>
          <w:lang w:val="es-CO"/>
        </w:rPr>
      </w:pPr>
      <w:r w:rsidRPr="0026557E">
        <w:rPr>
          <w:rFonts w:cs="Times New Roman"/>
          <w:lang w:val="es-CO"/>
        </w:rPr>
        <w:lastRenderedPageBreak/>
        <w:t>Triangulación de hallazgos anteriores</w:t>
      </w:r>
    </w:p>
    <w:p w14:paraId="5B3C7088" w14:textId="77777777" w:rsidR="0026557E" w:rsidRPr="0026557E" w:rsidRDefault="0026557E" w:rsidP="0026557E">
      <w:pPr>
        <w:spacing w:line="480" w:lineRule="auto"/>
        <w:jc w:val="both"/>
        <w:rPr>
          <w:rFonts w:ascii="Times New Roman" w:hAnsi="Times New Roman" w:cs="Times New Roman"/>
          <w:szCs w:val="24"/>
        </w:rPr>
      </w:pPr>
    </w:p>
    <w:p w14:paraId="2C5439A3" w14:textId="2ED82828" w:rsidR="0026557E" w:rsidRPr="0026557E" w:rsidRDefault="0026557E" w:rsidP="0026557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Se integraron de manera rigurosa los insumos obtenidos en las tres fases previas —revisión bibliográfica de marcos internacionales y literatura académica, diagnóstico territorial (análisis de patentes y cartografía de grupos de investigación) y validación cualitativa con expertos— siguiendo las pautas de triangulación de Benavides </w:t>
      </w:r>
      <w:sdt>
        <w:sdtPr>
          <w:rPr>
            <w:rFonts w:ascii="Times New Roman" w:hAnsi="Times New Roman" w:cs="Times New Roman"/>
            <w:sz w:val="24"/>
            <w:szCs w:val="24"/>
            <w:lang w:val="es-CO"/>
          </w:rPr>
          <w:alias w:val="To edit, see citavi.com/edit"/>
          <w:tag w:val="CitaviPlaceholder#b6caf62e-2771-4031-9b15-0d3e23763215"/>
          <w:id w:val="605627118"/>
          <w:placeholder>
            <w:docPart w:val="DefaultPlaceholder_-1854013440"/>
          </w:placeholder>
        </w:sdtPr>
        <w:sdtContent>
          <w:r>
            <w:rPr>
              <w:rFonts w:ascii="Times New Roman" w:hAnsi="Times New Roman" w:cs="Times New Roman"/>
              <w:sz w:val="24"/>
              <w:szCs w:val="24"/>
              <w:lang w:val="es-CO"/>
            </w:rPr>
            <w:fldChar w:fldCharType="begin"/>
          </w:r>
          <w:r>
            <w:rPr>
              <w:rFonts w:ascii="Times New Roman" w:hAnsi="Times New Roman" w:cs="Times New Roman"/>
              <w:sz w:val="24"/>
              <w:szCs w:val="24"/>
              <w:lang w:val="es-CO"/>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wMjUzNzlhLTAyNTYtNGUxNS1hYTZkLTZjZWExZjlkMzE5YiIsIlJhbmdlTGVuZ3RoIjo2LCJSZWZlcmVuY2VJZCI6IjRkMWY2ZGZkLTU5MjMtNDVmOC04ODZmLTJhNDU0N2ViMWU3M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}</w:instrText>
          </w:r>
          <w:r>
            <w:rPr>
              <w:rFonts w:ascii="Times New Roman" w:hAnsi="Times New Roman" w:cs="Times New Roman"/>
              <w:sz w:val="24"/>
              <w:szCs w:val="24"/>
              <w:lang w:val="es-CO"/>
            </w:rPr>
            <w:fldChar w:fldCharType="separate"/>
          </w:r>
          <w:r>
            <w:rPr>
              <w:rFonts w:ascii="Times New Roman" w:hAnsi="Times New Roman" w:cs="Times New Roman"/>
              <w:sz w:val="24"/>
              <w:szCs w:val="24"/>
              <w:lang w:val="es-CO"/>
            </w:rPr>
            <w:t>(2005)</w:t>
          </w:r>
          <w:r>
            <w:rPr>
              <w:rFonts w:ascii="Times New Roman" w:hAnsi="Times New Roman" w:cs="Times New Roman"/>
              <w:sz w:val="24"/>
              <w:szCs w:val="24"/>
              <w:lang w:val="es-CO"/>
            </w:rPr>
            <w:fldChar w:fldCharType="end"/>
          </w:r>
        </w:sdtContent>
      </w:sdt>
      <w:r w:rsidRPr="0026557E">
        <w:rPr>
          <w:rFonts w:ascii="Times New Roman" w:hAnsi="Times New Roman" w:cs="Times New Roman"/>
          <w:sz w:val="24"/>
          <w:szCs w:val="24"/>
          <w:lang w:val="es-CO"/>
        </w:rPr>
        <w:t>. Este ejercicio consistió en confrontar y contrastar de forma sistemática la evidencia documental, las percepciones de los actores y los casos de éxito identificados, con el fin de extraer de manera confiable los factores más recurrentes y las prácticas verdaderamente replicables. Como resultado, se logró un listado depurado de veintidós factores clave y siete acciones facilitadoras que servirían de insumo directo para el diseño de pilares y ejes transversales, garantizando que la propuesta descansara sobre un fundamento empírico sólido y multidimensional.</w:t>
      </w:r>
    </w:p>
    <w:p w14:paraId="2180BD9A" w14:textId="0C764382" w:rsidR="004F34B8" w:rsidRPr="00D01959" w:rsidRDefault="004F34B8" w:rsidP="004F34B8">
      <w:pPr>
        <w:pStyle w:val="Ttulo1"/>
        <w:numPr>
          <w:ilvl w:val="0"/>
          <w:numId w:val="5"/>
        </w:numPr>
        <w:rPr>
          <w:rFonts w:cs="Times New Roman"/>
          <w:lang w:val="es-CO"/>
        </w:rPr>
      </w:pPr>
      <w:r w:rsidRPr="00D01959">
        <w:rPr>
          <w:rFonts w:cs="Times New Roman"/>
          <w:lang w:val="es-CO"/>
        </w:rPr>
        <w:t>Primer diseño de la propuesta metodológica</w:t>
      </w:r>
    </w:p>
    <w:p w14:paraId="54F7D9CA" w14:textId="77777777" w:rsidR="004F34B8" w:rsidRDefault="004F34B8" w:rsidP="004F34B8">
      <w:pPr>
        <w:spacing w:line="480" w:lineRule="auto"/>
        <w:jc w:val="both"/>
        <w:rPr>
          <w:rFonts w:ascii="Times New Roman" w:hAnsi="Times New Roman" w:cs="Times New Roman"/>
          <w:b/>
          <w:bCs/>
          <w:szCs w:val="24"/>
          <w:lang w:val="es-CO"/>
        </w:rPr>
      </w:pPr>
    </w:p>
    <w:p w14:paraId="1E1778F8" w14:textId="6A2B575C" w:rsidR="00F670C5" w:rsidRDefault="00F670C5" w:rsidP="004F34B8">
      <w:pPr>
        <w:spacing w:line="480" w:lineRule="auto"/>
        <w:jc w:val="both"/>
        <w:rPr>
          <w:rFonts w:ascii="Times New Roman" w:hAnsi="Times New Roman" w:cs="Times New Roman"/>
          <w:sz w:val="24"/>
          <w:szCs w:val="24"/>
          <w:lang w:val="es-CO"/>
        </w:rPr>
      </w:pPr>
      <w:r w:rsidRPr="00F670C5">
        <w:rPr>
          <w:rFonts w:ascii="Times New Roman" w:hAnsi="Times New Roman" w:cs="Times New Roman"/>
          <w:sz w:val="24"/>
          <w:szCs w:val="24"/>
          <w:lang w:val="es-CO"/>
        </w:rPr>
        <w:t xml:space="preserve">Con los factores clave y las prácticas replicables ya estructurados, se elaboró un borrador inicial de la metodología, articulando seis pilares estratégicos —cada uno vinculado a un subconjunto de acciones identificadas— y tres ejes transversales de soporte. Este primer esquema incluyó la definición de las seis etapas del ciclo de transferencia, los roles internos responsables, los resultados esperados y las herramientas de apoyo potenciales (plantillas, protocolos y matrices de </w:t>
      </w:r>
      <w:proofErr w:type="spellStart"/>
      <w:r w:rsidRPr="00F670C5">
        <w:rPr>
          <w:rFonts w:ascii="Times New Roman" w:hAnsi="Times New Roman" w:cs="Times New Roman"/>
          <w:sz w:val="24"/>
          <w:szCs w:val="24"/>
          <w:lang w:val="es-CO"/>
        </w:rPr>
        <w:t>scoring</w:t>
      </w:r>
      <w:proofErr w:type="spellEnd"/>
      <w:r w:rsidRPr="00F670C5">
        <w:rPr>
          <w:rFonts w:ascii="Times New Roman" w:hAnsi="Times New Roman" w:cs="Times New Roman"/>
          <w:sz w:val="24"/>
          <w:szCs w:val="24"/>
          <w:lang w:val="es-CO"/>
        </w:rPr>
        <w:t>). La propuesta se plasmó en un diagrama de flujo y en fichas de pilar, sentando las bases para la siguiente ronda de validación y refinamiento.</w:t>
      </w:r>
    </w:p>
    <w:p w14:paraId="5D99D6CF" w14:textId="77777777" w:rsidR="00F670C5" w:rsidRDefault="00F670C5" w:rsidP="004F34B8">
      <w:pPr>
        <w:spacing w:line="480" w:lineRule="auto"/>
        <w:jc w:val="both"/>
        <w:rPr>
          <w:rFonts w:ascii="Times New Roman" w:hAnsi="Times New Roman" w:cs="Times New Roman"/>
          <w:sz w:val="24"/>
          <w:szCs w:val="24"/>
          <w:lang w:val="es-CO"/>
        </w:rPr>
      </w:pPr>
    </w:p>
    <w:p w14:paraId="3C8844A3" w14:textId="77777777" w:rsidR="00F670C5" w:rsidRDefault="00F670C5" w:rsidP="004F34B8">
      <w:pPr>
        <w:spacing w:line="480" w:lineRule="auto"/>
        <w:jc w:val="both"/>
        <w:rPr>
          <w:rFonts w:ascii="Times New Roman" w:hAnsi="Times New Roman" w:cs="Times New Roman"/>
          <w:sz w:val="24"/>
          <w:szCs w:val="24"/>
          <w:lang w:val="es-CO"/>
        </w:rPr>
      </w:pPr>
    </w:p>
    <w:p w14:paraId="44B43323" w14:textId="77777777" w:rsidR="0087540A" w:rsidRPr="00F670C5" w:rsidRDefault="0087540A" w:rsidP="004F34B8">
      <w:pPr>
        <w:spacing w:line="480" w:lineRule="auto"/>
        <w:jc w:val="both"/>
        <w:rPr>
          <w:rFonts w:ascii="Times New Roman" w:hAnsi="Times New Roman" w:cs="Times New Roman"/>
          <w:sz w:val="24"/>
          <w:szCs w:val="24"/>
          <w:lang w:val="es-CO"/>
        </w:rPr>
      </w:pPr>
    </w:p>
    <w:p w14:paraId="2CB965DB" w14:textId="518D2A7A" w:rsidR="004F34B8" w:rsidRPr="0026557E" w:rsidRDefault="004F34B8" w:rsidP="004F34B8">
      <w:pPr>
        <w:pStyle w:val="Ttulo1"/>
        <w:numPr>
          <w:ilvl w:val="0"/>
          <w:numId w:val="5"/>
        </w:numPr>
        <w:rPr>
          <w:rFonts w:cs="Times New Roman"/>
          <w:lang w:val="es-CO"/>
        </w:rPr>
      </w:pPr>
      <w:r w:rsidRPr="0026557E">
        <w:rPr>
          <w:rFonts w:cs="Times New Roman"/>
          <w:lang w:val="es-CO"/>
        </w:rPr>
        <w:lastRenderedPageBreak/>
        <w:t>Definición de la propuesta MITT-Salud</w:t>
      </w:r>
    </w:p>
    <w:p w14:paraId="50306E4C" w14:textId="77777777" w:rsidR="004F34B8" w:rsidRPr="0026557E" w:rsidRDefault="004F34B8" w:rsidP="004F34B8">
      <w:pPr>
        <w:rPr>
          <w:rFonts w:ascii="Times New Roman" w:hAnsi="Times New Roman" w:cs="Times New Roman"/>
          <w:lang w:val="es-CO"/>
        </w:rPr>
      </w:pPr>
    </w:p>
    <w:p w14:paraId="546ED009" w14:textId="0D5D324E" w:rsidR="00A90D3E" w:rsidRPr="0026557E" w:rsidRDefault="00A90D3E" w:rsidP="00A90D3E">
      <w:pPr>
        <w:pStyle w:val="Descripcin"/>
        <w:keepNext/>
        <w:spacing w:line="360" w:lineRule="auto"/>
        <w:rPr>
          <w:rFonts w:ascii="Times New Roman" w:hAnsi="Times New Roman" w:cs="Times New Roman"/>
          <w:b/>
          <w:bCs/>
          <w:i w:val="0"/>
          <w:iCs w:val="0"/>
          <w:color w:val="auto"/>
          <w:sz w:val="24"/>
          <w:szCs w:val="24"/>
          <w:lang w:val="es-CO"/>
        </w:rPr>
      </w:pPr>
      <w:bookmarkStart w:id="0" w:name="_Toc203342500"/>
      <w:r w:rsidRPr="0026557E">
        <w:rPr>
          <w:rFonts w:ascii="Times New Roman" w:hAnsi="Times New Roman" w:cs="Times New Roman"/>
          <w:b/>
          <w:bCs/>
          <w:i w:val="0"/>
          <w:iCs w:val="0"/>
          <w:color w:val="auto"/>
          <w:sz w:val="24"/>
          <w:szCs w:val="24"/>
          <w:lang w:val="es-CO"/>
        </w:rPr>
        <w:t xml:space="preserve">Figura </w:t>
      </w:r>
      <w:r w:rsidRPr="0026557E">
        <w:rPr>
          <w:rFonts w:ascii="Times New Roman" w:hAnsi="Times New Roman" w:cs="Times New Roman"/>
          <w:b/>
          <w:bCs/>
          <w:i w:val="0"/>
          <w:iCs w:val="0"/>
          <w:color w:val="auto"/>
          <w:sz w:val="24"/>
          <w:szCs w:val="24"/>
        </w:rPr>
        <w:fldChar w:fldCharType="begin"/>
      </w:r>
      <w:r w:rsidRPr="0026557E">
        <w:rPr>
          <w:rFonts w:ascii="Times New Roman" w:hAnsi="Times New Roman" w:cs="Times New Roman"/>
          <w:b/>
          <w:bCs/>
          <w:i w:val="0"/>
          <w:iCs w:val="0"/>
          <w:color w:val="auto"/>
          <w:sz w:val="24"/>
          <w:szCs w:val="24"/>
          <w:lang w:val="es-CO"/>
        </w:rPr>
        <w:instrText xml:space="preserve"> SEQ Figura \* ARABIC </w:instrText>
      </w:r>
      <w:r w:rsidRPr="0026557E">
        <w:rPr>
          <w:rFonts w:ascii="Times New Roman" w:hAnsi="Times New Roman" w:cs="Times New Roman"/>
          <w:b/>
          <w:bCs/>
          <w:i w:val="0"/>
          <w:iCs w:val="0"/>
          <w:color w:val="auto"/>
          <w:sz w:val="24"/>
          <w:szCs w:val="24"/>
        </w:rPr>
        <w:fldChar w:fldCharType="separate"/>
      </w:r>
      <w:r w:rsidRPr="0026557E">
        <w:rPr>
          <w:rFonts w:ascii="Times New Roman" w:hAnsi="Times New Roman" w:cs="Times New Roman"/>
          <w:b/>
          <w:bCs/>
          <w:i w:val="0"/>
          <w:iCs w:val="0"/>
          <w:noProof/>
          <w:color w:val="auto"/>
          <w:sz w:val="24"/>
          <w:szCs w:val="24"/>
          <w:lang w:val="es-CO"/>
        </w:rPr>
        <w:t>1</w:t>
      </w:r>
      <w:r w:rsidRPr="0026557E">
        <w:rPr>
          <w:rFonts w:ascii="Times New Roman" w:hAnsi="Times New Roman" w:cs="Times New Roman"/>
          <w:b/>
          <w:bCs/>
          <w:i w:val="0"/>
          <w:iCs w:val="0"/>
          <w:color w:val="auto"/>
          <w:sz w:val="24"/>
          <w:szCs w:val="24"/>
        </w:rPr>
        <w:fldChar w:fldCharType="end"/>
      </w:r>
      <w:r w:rsidRPr="0026557E">
        <w:rPr>
          <w:rFonts w:ascii="Times New Roman" w:hAnsi="Times New Roman" w:cs="Times New Roman"/>
          <w:b/>
          <w:bCs/>
          <w:i w:val="0"/>
          <w:iCs w:val="0"/>
          <w:color w:val="auto"/>
          <w:sz w:val="24"/>
          <w:szCs w:val="24"/>
          <w:lang w:val="es-CO"/>
        </w:rPr>
        <w:t xml:space="preserve">. </w:t>
      </w:r>
      <w:r w:rsidRPr="0026557E">
        <w:rPr>
          <w:rFonts w:ascii="Times New Roman" w:hAnsi="Times New Roman" w:cs="Times New Roman"/>
          <w:b/>
          <w:bCs/>
          <w:i w:val="0"/>
          <w:iCs w:val="0"/>
          <w:color w:val="auto"/>
          <w:sz w:val="24"/>
          <w:szCs w:val="24"/>
          <w:lang w:val="es-CO"/>
        </w:rPr>
        <w:br/>
      </w:r>
      <w:r w:rsidRPr="0026557E">
        <w:rPr>
          <w:rFonts w:ascii="Times New Roman" w:hAnsi="Times New Roman" w:cs="Times New Roman"/>
          <w:color w:val="auto"/>
          <w:sz w:val="24"/>
          <w:szCs w:val="24"/>
          <w:lang w:val="es-CO"/>
        </w:rPr>
        <w:t>Elementos de la propuesta metodológica MITT-Salud</w:t>
      </w:r>
      <w:bookmarkEnd w:id="0"/>
    </w:p>
    <w:p w14:paraId="3A2FBF70" w14:textId="7C70DC8F" w:rsidR="00A90D3E" w:rsidRPr="0026557E" w:rsidRDefault="00A90D3E" w:rsidP="00A90D3E">
      <w:pPr>
        <w:spacing w:line="360" w:lineRule="auto"/>
        <w:ind w:left="426" w:hanging="917"/>
        <w:rPr>
          <w:rFonts w:ascii="Times New Roman" w:hAnsi="Times New Roman" w:cs="Times New Roman"/>
          <w:i/>
          <w:iCs/>
          <w:sz w:val="24"/>
          <w:szCs w:val="24"/>
          <w:lang w:val="es-CO"/>
        </w:rPr>
      </w:pPr>
      <w:r w:rsidRPr="0026557E">
        <w:rPr>
          <w:rFonts w:ascii="Times New Roman" w:hAnsi="Times New Roman" w:cs="Times New Roman"/>
          <w:noProof/>
          <w:sz w:val="24"/>
          <w:szCs w:val="24"/>
        </w:rPr>
        <w:drawing>
          <wp:inline distT="0" distB="0" distL="0" distR="0" wp14:anchorId="495D5885" wp14:editId="4D02B89A">
            <wp:extent cx="6205728" cy="7332344"/>
            <wp:effectExtent l="0" t="0" r="5080" b="2540"/>
            <wp:docPr id="17853709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70917" name="Imagen 1785370917"/>
                    <pic:cNvPicPr/>
                  </pic:nvPicPr>
                  <pic:blipFill rotWithShape="1">
                    <a:blip r:embed="rId7">
                      <a:extLst>
                        <a:ext uri="{28A0092B-C50C-407E-A947-70E740481C1C}">
                          <a14:useLocalDpi xmlns:a14="http://schemas.microsoft.com/office/drawing/2010/main" val="0"/>
                        </a:ext>
                      </a:extLst>
                    </a:blip>
                    <a:srcRect t="8856"/>
                    <a:stretch/>
                  </pic:blipFill>
                  <pic:spPr bwMode="auto">
                    <a:xfrm>
                      <a:off x="0" y="0"/>
                      <a:ext cx="6217339" cy="7346063"/>
                    </a:xfrm>
                    <a:prstGeom prst="rect">
                      <a:avLst/>
                    </a:prstGeom>
                    <a:ln>
                      <a:noFill/>
                    </a:ln>
                    <a:extLst>
                      <a:ext uri="{53640926-AAD7-44D8-BBD7-CCE9431645EC}">
                        <a14:shadowObscured xmlns:a14="http://schemas.microsoft.com/office/drawing/2010/main"/>
                      </a:ext>
                    </a:extLst>
                  </pic:spPr>
                </pic:pic>
              </a:graphicData>
            </a:graphic>
          </wp:inline>
        </w:drawing>
      </w:r>
      <w:r w:rsidRPr="0026557E">
        <w:rPr>
          <w:rFonts w:ascii="Times New Roman" w:hAnsi="Times New Roman" w:cs="Times New Roman"/>
          <w:sz w:val="24"/>
          <w:szCs w:val="24"/>
          <w:lang w:val="es-CO"/>
        </w:rPr>
        <w:br/>
      </w:r>
    </w:p>
    <w:p w14:paraId="54D0012E" w14:textId="05A72FD7" w:rsidR="00A90D3E" w:rsidRPr="0026557E" w:rsidRDefault="00A90D3E" w:rsidP="004F34B8">
      <w:pPr>
        <w:pStyle w:val="Ttulo2"/>
        <w:numPr>
          <w:ilvl w:val="1"/>
          <w:numId w:val="5"/>
        </w:numPr>
        <w:rPr>
          <w:rStyle w:val="Ttulo3Car"/>
          <w:rFonts w:cs="Times New Roman"/>
          <w:b/>
          <w:szCs w:val="26"/>
          <w:lang w:val="es-CO"/>
        </w:rPr>
      </w:pPr>
      <w:bookmarkStart w:id="1" w:name="_Toc203345408"/>
      <w:r w:rsidRPr="0026557E">
        <w:rPr>
          <w:rFonts w:cs="Times New Roman"/>
          <w:lang w:val="es-CO"/>
        </w:rPr>
        <w:lastRenderedPageBreak/>
        <w:t xml:space="preserve">Pilares </w:t>
      </w:r>
      <w:r w:rsidRPr="0026557E">
        <w:rPr>
          <w:rStyle w:val="Ttulo3Car"/>
          <w:rFonts w:cs="Times New Roman"/>
          <w:b/>
          <w:szCs w:val="26"/>
          <w:lang w:val="es-CO"/>
        </w:rPr>
        <w:t>estratégicos</w:t>
      </w:r>
      <w:bookmarkEnd w:id="1"/>
    </w:p>
    <w:p w14:paraId="4ACA2537" w14:textId="77777777" w:rsidR="00A90D3E" w:rsidRPr="0026557E" w:rsidRDefault="00A90D3E" w:rsidP="00A90D3E">
      <w:pPr>
        <w:rPr>
          <w:rFonts w:ascii="Times New Roman" w:hAnsi="Times New Roman" w:cs="Times New Roman"/>
          <w:sz w:val="24"/>
          <w:szCs w:val="24"/>
          <w:lang w:val="es-CO" w:eastAsia="es-CO"/>
        </w:rPr>
      </w:pPr>
    </w:p>
    <w:p w14:paraId="48029136" w14:textId="77777777" w:rsidR="00A90D3E" w:rsidRPr="0026557E" w:rsidRDefault="00A90D3E" w:rsidP="00A90D3E">
      <w:pPr>
        <w:spacing w:line="480" w:lineRule="auto"/>
        <w:ind w:firstLine="720"/>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A continuación, se presenta una descripción de cada pilar, detallando su propósito, los resultados esperados y las herramientas de apoyo recomendadas, sustentadas en la literatura y los casos de éxito analizados:</w:t>
      </w:r>
    </w:p>
    <w:p w14:paraId="2589A37A" w14:textId="77777777" w:rsidR="00A90D3E" w:rsidRPr="0026557E" w:rsidRDefault="00A90D3E" w:rsidP="00A90D3E">
      <w:pPr>
        <w:pStyle w:val="Descripcin"/>
        <w:spacing w:line="360" w:lineRule="auto"/>
        <w:rPr>
          <w:rFonts w:ascii="Times New Roman" w:hAnsi="Times New Roman" w:cs="Times New Roman"/>
          <w:color w:val="auto"/>
          <w:sz w:val="24"/>
          <w:szCs w:val="24"/>
          <w:lang w:val="es-CO"/>
        </w:rPr>
      </w:pPr>
      <w:bookmarkStart w:id="2" w:name="_Toc203342501"/>
      <w:r w:rsidRPr="0026557E">
        <w:rPr>
          <w:rFonts w:ascii="Times New Roman" w:hAnsi="Times New Roman" w:cs="Times New Roman"/>
          <w:b/>
          <w:bCs/>
          <w:i w:val="0"/>
          <w:iCs w:val="0"/>
          <w:color w:val="auto"/>
          <w:sz w:val="24"/>
          <w:szCs w:val="24"/>
          <w:lang w:val="es-CO"/>
        </w:rPr>
        <w:t xml:space="preserve">Figura </w:t>
      </w:r>
      <w:r w:rsidRPr="0026557E">
        <w:rPr>
          <w:rFonts w:ascii="Times New Roman" w:hAnsi="Times New Roman" w:cs="Times New Roman"/>
          <w:b/>
          <w:bCs/>
          <w:i w:val="0"/>
          <w:iCs w:val="0"/>
          <w:color w:val="auto"/>
          <w:sz w:val="24"/>
          <w:szCs w:val="24"/>
        </w:rPr>
        <w:fldChar w:fldCharType="begin"/>
      </w:r>
      <w:r w:rsidRPr="0026557E">
        <w:rPr>
          <w:rFonts w:ascii="Times New Roman" w:hAnsi="Times New Roman" w:cs="Times New Roman"/>
          <w:b/>
          <w:bCs/>
          <w:i w:val="0"/>
          <w:iCs w:val="0"/>
          <w:color w:val="auto"/>
          <w:sz w:val="24"/>
          <w:szCs w:val="24"/>
          <w:lang w:val="es-CO"/>
        </w:rPr>
        <w:instrText xml:space="preserve"> SEQ Figura \* ARABIC </w:instrText>
      </w:r>
      <w:r w:rsidRPr="0026557E">
        <w:rPr>
          <w:rFonts w:ascii="Times New Roman" w:hAnsi="Times New Roman" w:cs="Times New Roman"/>
          <w:b/>
          <w:bCs/>
          <w:i w:val="0"/>
          <w:iCs w:val="0"/>
          <w:color w:val="auto"/>
          <w:sz w:val="24"/>
          <w:szCs w:val="24"/>
        </w:rPr>
        <w:fldChar w:fldCharType="separate"/>
      </w:r>
      <w:r w:rsidRPr="0026557E">
        <w:rPr>
          <w:rFonts w:ascii="Times New Roman" w:hAnsi="Times New Roman" w:cs="Times New Roman"/>
          <w:b/>
          <w:bCs/>
          <w:i w:val="0"/>
          <w:iCs w:val="0"/>
          <w:noProof/>
          <w:color w:val="auto"/>
          <w:sz w:val="24"/>
          <w:szCs w:val="24"/>
          <w:lang w:val="es-CO"/>
        </w:rPr>
        <w:t>11</w:t>
      </w:r>
      <w:r w:rsidRPr="0026557E">
        <w:rPr>
          <w:rFonts w:ascii="Times New Roman" w:hAnsi="Times New Roman" w:cs="Times New Roman"/>
          <w:b/>
          <w:bCs/>
          <w:i w:val="0"/>
          <w:iCs w:val="0"/>
          <w:color w:val="auto"/>
          <w:sz w:val="24"/>
          <w:szCs w:val="24"/>
        </w:rPr>
        <w:fldChar w:fldCharType="end"/>
      </w:r>
      <w:r w:rsidRPr="0026557E">
        <w:rPr>
          <w:rFonts w:ascii="Times New Roman" w:hAnsi="Times New Roman" w:cs="Times New Roman"/>
          <w:b/>
          <w:bCs/>
          <w:i w:val="0"/>
          <w:iCs w:val="0"/>
          <w:color w:val="auto"/>
          <w:sz w:val="24"/>
          <w:szCs w:val="24"/>
          <w:lang w:val="es-CO"/>
        </w:rPr>
        <w:t>.</w:t>
      </w:r>
      <w:r w:rsidRPr="0026557E">
        <w:rPr>
          <w:rFonts w:ascii="Times New Roman" w:hAnsi="Times New Roman" w:cs="Times New Roman"/>
          <w:color w:val="auto"/>
          <w:sz w:val="24"/>
          <w:szCs w:val="24"/>
          <w:lang w:val="es-CO"/>
        </w:rPr>
        <w:t xml:space="preserve"> </w:t>
      </w:r>
      <w:r w:rsidRPr="0026557E">
        <w:rPr>
          <w:rFonts w:ascii="Times New Roman" w:hAnsi="Times New Roman" w:cs="Times New Roman"/>
          <w:color w:val="auto"/>
          <w:sz w:val="24"/>
          <w:szCs w:val="24"/>
          <w:lang w:val="es-CO"/>
        </w:rPr>
        <w:br/>
        <w:t>Pilares estratégicos de la propuesta</w:t>
      </w:r>
      <w:bookmarkEnd w:id="2"/>
    </w:p>
    <w:p w14:paraId="2C515783" w14:textId="77777777" w:rsidR="00A90D3E" w:rsidRPr="0026557E" w:rsidRDefault="00A90D3E" w:rsidP="00A90D3E">
      <w:pPr>
        <w:spacing w:line="480" w:lineRule="auto"/>
        <w:jc w:val="both"/>
        <w:rPr>
          <w:rFonts w:ascii="Times New Roman" w:hAnsi="Times New Roman" w:cs="Times New Roman"/>
          <w:sz w:val="24"/>
          <w:szCs w:val="24"/>
          <w:lang w:eastAsia="es-CO"/>
        </w:rPr>
      </w:pPr>
      <w:r w:rsidRPr="0026557E">
        <w:rPr>
          <w:rFonts w:ascii="Times New Roman" w:hAnsi="Times New Roman" w:cs="Times New Roman"/>
          <w:noProof/>
          <w:sz w:val="24"/>
          <w:szCs w:val="24"/>
          <w:lang w:eastAsia="es-CO"/>
        </w:rPr>
        <w:drawing>
          <wp:inline distT="0" distB="0" distL="0" distR="0" wp14:anchorId="005DAB2A" wp14:editId="247C1605">
            <wp:extent cx="5740400" cy="4210050"/>
            <wp:effectExtent l="0" t="0" r="0" b="0"/>
            <wp:docPr id="32277895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
                      <a:extLst>
                        <a:ext uri="{28A0092B-C50C-407E-A947-70E740481C1C}">
                          <a14:useLocalDpi xmlns:a14="http://schemas.microsoft.com/office/drawing/2010/main" val="0"/>
                        </a:ext>
                      </a:extLst>
                    </a:blip>
                    <a:srcRect t="7008" b="4486"/>
                    <a:stretch/>
                  </pic:blipFill>
                  <pic:spPr bwMode="auto">
                    <a:xfrm>
                      <a:off x="0" y="0"/>
                      <a:ext cx="5740400" cy="4210050"/>
                    </a:xfrm>
                    <a:prstGeom prst="rect">
                      <a:avLst/>
                    </a:prstGeom>
                    <a:noFill/>
                    <a:ln>
                      <a:noFill/>
                    </a:ln>
                    <a:extLst>
                      <a:ext uri="{53640926-AAD7-44D8-BBD7-CCE9431645EC}">
                        <a14:shadowObscured xmlns:a14="http://schemas.microsoft.com/office/drawing/2010/main"/>
                      </a:ext>
                    </a:extLst>
                  </pic:spPr>
                </pic:pic>
              </a:graphicData>
            </a:graphic>
          </wp:inline>
        </w:drawing>
      </w:r>
    </w:p>
    <w:p w14:paraId="47970E69" w14:textId="77777777" w:rsidR="00A90D3E" w:rsidRPr="0026557E" w:rsidRDefault="00A90D3E" w:rsidP="00A90D3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 xml:space="preserve">El pilar de </w:t>
      </w:r>
      <w:r w:rsidRPr="0026557E">
        <w:rPr>
          <w:rFonts w:ascii="Times New Roman" w:hAnsi="Times New Roman" w:cs="Times New Roman"/>
          <w:i/>
          <w:iCs/>
          <w:sz w:val="24"/>
          <w:szCs w:val="24"/>
          <w:lang w:val="es-CO" w:eastAsia="es-CO"/>
        </w:rPr>
        <w:t>gobernanza clínica y priorización de tecnologías</w:t>
      </w:r>
      <w:r w:rsidRPr="0026557E">
        <w:rPr>
          <w:rFonts w:ascii="Times New Roman" w:hAnsi="Times New Roman" w:cs="Times New Roman"/>
          <w:sz w:val="24"/>
          <w:szCs w:val="24"/>
          <w:lang w:val="es-CO" w:eastAsia="es-CO"/>
        </w:rPr>
        <w:t xml:space="preserve"> consiste en establecer un comité interdisciplinario que revisa las necesidades sanitarias identificadas y aplica criterios de madurez tecnológica y viabilidad comercial/regulatoria para seleccionar las innovaciones con mayor potencial de impacto. El resultado esperado es un catálogo acotado de proyectos priorizados, alineados con las políticas regionales y las brechas clínicas más urgentes. Como herramientas de apoyo, sería importante emplear cuestionarios de </w:t>
      </w:r>
      <w:proofErr w:type="spellStart"/>
      <w:r w:rsidRPr="0026557E">
        <w:rPr>
          <w:rFonts w:ascii="Times New Roman" w:hAnsi="Times New Roman" w:cs="Times New Roman"/>
          <w:sz w:val="24"/>
          <w:szCs w:val="24"/>
          <w:lang w:val="es-CO" w:eastAsia="es-CO"/>
        </w:rPr>
        <w:t>scoring</w:t>
      </w:r>
      <w:proofErr w:type="spellEnd"/>
      <w:r w:rsidRPr="0026557E">
        <w:rPr>
          <w:rFonts w:ascii="Times New Roman" w:hAnsi="Times New Roman" w:cs="Times New Roman"/>
          <w:sz w:val="24"/>
          <w:szCs w:val="24"/>
          <w:lang w:val="es-CO" w:eastAsia="es-CO"/>
        </w:rPr>
        <w:t xml:space="preserve"> que integren las </w:t>
      </w:r>
      <w:r w:rsidRPr="0026557E">
        <w:rPr>
          <w:rFonts w:ascii="Times New Roman" w:hAnsi="Times New Roman" w:cs="Times New Roman"/>
          <w:sz w:val="24"/>
          <w:szCs w:val="24"/>
          <w:lang w:val="es-CO" w:eastAsia="es-CO"/>
        </w:rPr>
        <w:lastRenderedPageBreak/>
        <w:t>diferentes escalas TRL–CRL–BRL–IPRL–FRL–TMRL–SRL, un mapa de actores clave para articular responsabilidades y un tablero digital que consolida los puntajes y facilita la toma de decisiones.</w:t>
      </w:r>
    </w:p>
    <w:p w14:paraId="0910B979"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El segundo pilar de </w:t>
      </w:r>
      <w:r w:rsidRPr="0026557E">
        <w:rPr>
          <w:rFonts w:ascii="Times New Roman" w:hAnsi="Times New Roman" w:cs="Times New Roman"/>
          <w:i/>
          <w:iCs/>
          <w:sz w:val="24"/>
          <w:szCs w:val="24"/>
          <w:lang w:val="es-CO"/>
        </w:rPr>
        <w:t xml:space="preserve">protección temprana y estratégica de innovaciones sanitarias </w:t>
      </w:r>
      <w:r w:rsidRPr="0026557E">
        <w:rPr>
          <w:rFonts w:ascii="Times New Roman" w:hAnsi="Times New Roman" w:cs="Times New Roman"/>
          <w:sz w:val="24"/>
          <w:szCs w:val="24"/>
          <w:lang w:val="es-CO"/>
        </w:rPr>
        <w:t>se implementa desde el diseño un esquema de salvaguarda del know-how que debe incluir acuerdos de confidencialidad, opciones de licencia anticipada y evaluaciones periódicas de patentes, modelos de diseño y secretos industriales. El resultado esperado es un portafolio de propiedad intelectual consolidado y optimizado en coste, que garantice exclusividad y fortalezca la posición de negociación de la fuente. Como herramientas de apoyo se sugieren utilizar matrices de evaluación de madurez y riesgo de PI, plantillas modulables de licencias (open-</w:t>
      </w:r>
      <w:proofErr w:type="spellStart"/>
      <w:r w:rsidRPr="0026557E">
        <w:rPr>
          <w:rFonts w:ascii="Times New Roman" w:hAnsi="Times New Roman" w:cs="Times New Roman"/>
          <w:sz w:val="24"/>
          <w:szCs w:val="24"/>
          <w:lang w:val="es-CO"/>
        </w:rPr>
        <w:t>source</w:t>
      </w:r>
      <w:proofErr w:type="spellEnd"/>
      <w:r w:rsidRPr="0026557E">
        <w:rPr>
          <w:rFonts w:ascii="Times New Roman" w:hAnsi="Times New Roman" w:cs="Times New Roman"/>
          <w:sz w:val="24"/>
          <w:szCs w:val="24"/>
          <w:lang w:val="es-CO"/>
        </w:rPr>
        <w:t xml:space="preserve"> y exclusivas) y un repositorio digital para seguimiento de solicitudes y renovaciones.</w:t>
      </w:r>
    </w:p>
    <w:p w14:paraId="61A81CF0" w14:textId="77777777" w:rsidR="00A90D3E" w:rsidRPr="0026557E" w:rsidRDefault="00A90D3E" w:rsidP="00A90D3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 xml:space="preserve">El pilar de </w:t>
      </w:r>
      <w:r w:rsidRPr="0026557E">
        <w:rPr>
          <w:rFonts w:ascii="Times New Roman" w:hAnsi="Times New Roman" w:cs="Times New Roman"/>
          <w:i/>
          <w:iCs/>
          <w:sz w:val="24"/>
          <w:szCs w:val="24"/>
          <w:lang w:val="es-CO" w:eastAsia="es-CO"/>
        </w:rPr>
        <w:t>Alianzas Público-Privadas en salud</w:t>
      </w:r>
      <w:r w:rsidRPr="0026557E">
        <w:rPr>
          <w:rFonts w:ascii="Times New Roman" w:hAnsi="Times New Roman" w:cs="Times New Roman"/>
          <w:sz w:val="24"/>
          <w:szCs w:val="24"/>
          <w:lang w:val="es-CO" w:eastAsia="es-CO"/>
        </w:rPr>
        <w:t>, consisten en formalizar convenios marco con hospitales, laboratorios, clústeres y agencias gubernamentales para articular recursos, compartir infraestructura y definir roles claros en proyectos de TT. El resultado esperado es una red de colaboración estable que facilite el flujo de financiación, acceso a entornos clínicos y aceleración regulatoria. Como herramientas de apoyo se sugieren emplear modelos de convenio estándar con cláusulas de cofinanciamiento y coparticipación, diagramas de flujo de responsabilidades interinstitucionales y un registro digital de acuerdos para monitorear compromisos y fechas clave.</w:t>
      </w:r>
    </w:p>
    <w:p w14:paraId="096B160E" w14:textId="77777777" w:rsidR="00A90D3E" w:rsidRPr="0026557E" w:rsidRDefault="00A90D3E" w:rsidP="00A90D3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 xml:space="preserve">El pilar de </w:t>
      </w:r>
      <w:r w:rsidRPr="0026557E">
        <w:rPr>
          <w:rFonts w:ascii="Times New Roman" w:hAnsi="Times New Roman" w:cs="Times New Roman"/>
          <w:i/>
          <w:iCs/>
          <w:sz w:val="24"/>
          <w:szCs w:val="24"/>
          <w:lang w:val="es-CO" w:eastAsia="es-CO"/>
        </w:rPr>
        <w:t xml:space="preserve">Pilotaje clínico colaborativo y </w:t>
      </w:r>
      <w:proofErr w:type="spellStart"/>
      <w:r w:rsidRPr="0026557E">
        <w:rPr>
          <w:rFonts w:ascii="Times New Roman" w:hAnsi="Times New Roman" w:cs="Times New Roman"/>
          <w:i/>
          <w:iCs/>
          <w:sz w:val="24"/>
          <w:szCs w:val="24"/>
          <w:lang w:val="es-CO" w:eastAsia="es-CO"/>
        </w:rPr>
        <w:t>co-diseño</w:t>
      </w:r>
      <w:proofErr w:type="spellEnd"/>
      <w:r w:rsidRPr="0026557E">
        <w:rPr>
          <w:rFonts w:ascii="Times New Roman" w:hAnsi="Times New Roman" w:cs="Times New Roman"/>
          <w:sz w:val="24"/>
          <w:szCs w:val="24"/>
          <w:lang w:val="es-CO" w:eastAsia="es-CO"/>
        </w:rPr>
        <w:t xml:space="preserve"> se orienta a la implementación de ensayos tempranos en “Laboratorios Vivientes” y unidades piloto, donde equipos multidisciplinares de investigadores y profesionales de la salud iteran sobre prototipos en escenarios reales. El resultado esperado es evidencia robusta de usabilidad, seguridad y eficacia </w:t>
      </w:r>
      <w:r w:rsidRPr="0026557E">
        <w:rPr>
          <w:rFonts w:ascii="Times New Roman" w:hAnsi="Times New Roman" w:cs="Times New Roman"/>
          <w:sz w:val="24"/>
          <w:szCs w:val="24"/>
          <w:lang w:val="es-CO" w:eastAsia="es-CO"/>
        </w:rPr>
        <w:lastRenderedPageBreak/>
        <w:t xml:space="preserve">clínica, acompañada de mejoras continúas incorporadas al diseño. Como herramientas de apoyo, se utilizan protocolos estandarizados de pilotaje con indicadores definidos, bitácoras digitales de retroalimentación de usuarios y plantillas para documentar sesiones de </w:t>
      </w:r>
      <w:proofErr w:type="spellStart"/>
      <w:r w:rsidRPr="0026557E">
        <w:rPr>
          <w:rFonts w:ascii="Times New Roman" w:hAnsi="Times New Roman" w:cs="Times New Roman"/>
          <w:sz w:val="24"/>
          <w:szCs w:val="24"/>
          <w:lang w:val="es-CO" w:eastAsia="es-CO"/>
        </w:rPr>
        <w:t>co-diseño</w:t>
      </w:r>
      <w:proofErr w:type="spellEnd"/>
      <w:r w:rsidRPr="0026557E">
        <w:rPr>
          <w:rFonts w:ascii="Times New Roman" w:hAnsi="Times New Roman" w:cs="Times New Roman"/>
          <w:sz w:val="24"/>
          <w:szCs w:val="24"/>
          <w:lang w:val="es-CO" w:eastAsia="es-CO"/>
        </w:rPr>
        <w:t>, garantizando trazabilidad y replicabilidad.</w:t>
      </w:r>
    </w:p>
    <w:p w14:paraId="6C39DC05"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El quinto pilar de </w:t>
      </w:r>
      <w:r w:rsidRPr="0026557E">
        <w:rPr>
          <w:rFonts w:ascii="Times New Roman" w:hAnsi="Times New Roman" w:cs="Times New Roman"/>
          <w:i/>
          <w:iCs/>
          <w:sz w:val="24"/>
          <w:szCs w:val="24"/>
          <w:lang w:val="es-CO"/>
        </w:rPr>
        <w:t>Acuerdos modulares y financiamiento por etapas</w:t>
      </w:r>
      <w:r w:rsidRPr="0026557E">
        <w:rPr>
          <w:rFonts w:ascii="Times New Roman" w:hAnsi="Times New Roman" w:cs="Times New Roman"/>
          <w:sz w:val="24"/>
          <w:szCs w:val="24"/>
          <w:lang w:val="es-CO"/>
        </w:rPr>
        <w:t xml:space="preserve"> consiste en diseñar contratos flexibles que vinculan desembolsos de recursos a hitos de madurez tecnológica y entregables clínicos, permitiendo combinar licencias de código abierto y exclusivas según el avance de TRL. El resultado esperado es un esquema de colaboración escalonado que mitigue riesgos financieros y garantice recursos continuos a lo largo del desarrollo. Como herramientas de apoyo, se emplean plantillas de licencia modular con cláusulas de desembolso condicionado, cronogramas de hitos vinculados a pagos y </w:t>
      </w:r>
      <w:proofErr w:type="spellStart"/>
      <w:r w:rsidRPr="0026557E">
        <w:rPr>
          <w:rFonts w:ascii="Times New Roman" w:hAnsi="Times New Roman" w:cs="Times New Roman"/>
          <w:sz w:val="24"/>
          <w:szCs w:val="24"/>
          <w:lang w:val="es-CO"/>
        </w:rPr>
        <w:t>dashboards</w:t>
      </w:r>
      <w:proofErr w:type="spellEnd"/>
      <w:r w:rsidRPr="0026557E">
        <w:rPr>
          <w:rFonts w:ascii="Times New Roman" w:hAnsi="Times New Roman" w:cs="Times New Roman"/>
          <w:sz w:val="24"/>
          <w:szCs w:val="24"/>
          <w:lang w:val="es-CO"/>
        </w:rPr>
        <w:t xml:space="preserve"> financieros que rastrean el cumplimiento de métricas para liberar fases de financiamiento.</w:t>
      </w:r>
    </w:p>
    <w:p w14:paraId="02BA89DB"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Finalmente, el pilar de </w:t>
      </w:r>
      <w:r w:rsidRPr="0026557E">
        <w:rPr>
          <w:rFonts w:ascii="Times New Roman" w:hAnsi="Times New Roman" w:cs="Times New Roman"/>
          <w:i/>
          <w:iCs/>
          <w:sz w:val="24"/>
          <w:szCs w:val="24"/>
          <w:lang w:val="es-CO"/>
        </w:rPr>
        <w:t>Escalamiento regional y evaluación de impacto en salud</w:t>
      </w:r>
      <w:r w:rsidRPr="0026557E">
        <w:rPr>
          <w:rFonts w:ascii="Times New Roman" w:hAnsi="Times New Roman" w:cs="Times New Roman"/>
          <w:sz w:val="24"/>
          <w:szCs w:val="24"/>
          <w:lang w:val="es-CO"/>
        </w:rPr>
        <w:t xml:space="preserve"> tiene como fin extender el alcance de los pilotos validados a múltiples instituciones del departamento, al tiempo que se miden rigurosamente los resultados clínicos, operativos y de equidad. El proceso consiste en capacitar a equipos locales para reproducir los módulos de validación estandarizados, recopilar datos comparables y evaluar el beneficio real sobre la atención en salud. El resultado esperado es un plan de expansión con protocolos afinados que demuestre reducción de estancias, mejora en accesibilidad y sostenibilidad financiera en distintos contextos clínicos. Como herramientas de apoyo se sugieren de acuerdo a los casos exitosos identificados, un manual de replicación de módulos con guías paso a paso, un </w:t>
      </w:r>
      <w:proofErr w:type="spellStart"/>
      <w:r w:rsidRPr="0026557E">
        <w:rPr>
          <w:rFonts w:ascii="Times New Roman" w:hAnsi="Times New Roman" w:cs="Times New Roman"/>
          <w:sz w:val="24"/>
          <w:szCs w:val="24"/>
          <w:lang w:val="es-CO"/>
        </w:rPr>
        <w:t>dashboard</w:t>
      </w:r>
      <w:proofErr w:type="spellEnd"/>
      <w:r w:rsidRPr="0026557E">
        <w:rPr>
          <w:rFonts w:ascii="Times New Roman" w:hAnsi="Times New Roman" w:cs="Times New Roman"/>
          <w:sz w:val="24"/>
          <w:szCs w:val="24"/>
          <w:lang w:val="es-CO"/>
        </w:rPr>
        <w:t xml:space="preserve"> de impacto que integra </w:t>
      </w:r>
      <w:proofErr w:type="spellStart"/>
      <w:r w:rsidRPr="0026557E">
        <w:rPr>
          <w:rFonts w:ascii="Times New Roman" w:hAnsi="Times New Roman" w:cs="Times New Roman"/>
          <w:sz w:val="24"/>
          <w:szCs w:val="24"/>
          <w:lang w:val="es-CO"/>
        </w:rPr>
        <w:t>KPIs</w:t>
      </w:r>
      <w:proofErr w:type="spellEnd"/>
      <w:r w:rsidRPr="0026557E">
        <w:rPr>
          <w:rFonts w:ascii="Times New Roman" w:hAnsi="Times New Roman" w:cs="Times New Roman"/>
          <w:sz w:val="24"/>
          <w:szCs w:val="24"/>
          <w:lang w:val="es-CO"/>
        </w:rPr>
        <w:t xml:space="preserve"> sanitarios (reducción de hospitalizaciones, cobertura) y económicos (costos ahorrados, ROI), y plantillas de informes de evaluación para documentar hallazgos y lecciones antes de cada nueva etapa de escala.</w:t>
      </w:r>
    </w:p>
    <w:p w14:paraId="49474889"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lastRenderedPageBreak/>
        <w:t>Basada en estos seis pilares, la MITT-Salud se despliega como un ciclo continuo de decisiones basadas en evidencia, diseñado para lograr un proceso de transferencia eficiente y eficaz. Aunque sus etapas siguen una secuencia lógica (desde la priorización inicial hasta el escalamiento y la evaluación de impacto) muchas de ellas pueden solaparse en la práctica: mientras se aseguran los derechos de propiedad intelectual, se cierran convenios y se preparan pilotos, por ejemplo. Este enfoque flexible permite responder ágilmente a las necesidades del entorno, optimizar el uso de recursos y garantizar que cada avance se traduzca en una transferencia robusta y sostenible en el sistema de salud regional.</w:t>
      </w:r>
    </w:p>
    <w:p w14:paraId="4EB68F88" w14:textId="657599D4" w:rsidR="00A90D3E" w:rsidRPr="0026557E" w:rsidRDefault="00A90D3E" w:rsidP="004F34B8">
      <w:pPr>
        <w:pStyle w:val="Ttulo2"/>
        <w:numPr>
          <w:ilvl w:val="1"/>
          <w:numId w:val="5"/>
        </w:numPr>
        <w:rPr>
          <w:rStyle w:val="Ttulo3Car"/>
          <w:rFonts w:cs="Times New Roman"/>
          <w:b/>
          <w:bCs/>
          <w:lang w:val="es-CO"/>
        </w:rPr>
      </w:pPr>
      <w:bookmarkStart w:id="3" w:name="_Toc203345409"/>
      <w:r w:rsidRPr="0026557E">
        <w:rPr>
          <w:rFonts w:cs="Times New Roman"/>
          <w:lang w:val="es-CO"/>
        </w:rPr>
        <w:t>Ejes operacionales</w:t>
      </w:r>
      <w:bookmarkEnd w:id="3"/>
    </w:p>
    <w:p w14:paraId="4CAD2421"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p>
    <w:p w14:paraId="294FEA05"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Tras detallar los seis pilares estratégicos que estructuran el ciclo de MITT-Salud, es indispensable contar con un andamiaje transversal que los refuerce en cada momento. Los ejes operacionales de documentación, formación y comunicación cumplen este cometido: no son fases adicionales, sino actividades continuas que capturan el aprendizaje, construyen capacidades y mantienen la alineación entre actores y procesos en todas las etapas, garantizando la solidez y eficacia de la transferencia tecnológica en salud (Ver Figura 12). A continuación, se describe el enfoque de cada uno de ellos:</w:t>
      </w:r>
    </w:p>
    <w:p w14:paraId="79D18819"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i/>
          <w:iCs/>
          <w:sz w:val="24"/>
          <w:szCs w:val="24"/>
          <w:lang w:val="es-CO"/>
        </w:rPr>
        <w:t>Eje de documentación</w:t>
      </w:r>
      <w:r w:rsidRPr="0026557E">
        <w:rPr>
          <w:rFonts w:ascii="Times New Roman" w:hAnsi="Times New Roman" w:cs="Times New Roman"/>
          <w:sz w:val="24"/>
          <w:szCs w:val="24"/>
          <w:lang w:val="es-CO"/>
        </w:rPr>
        <w:t xml:space="preserve">: este eje tiene como misión sistematizar todo el conocimiento generado a lo largo de las seis etapas de MITT-Salud: desde las decisiones de priorización inicial hasta los informes de impacto tras el escalamiento regional. Al garantizar que cada pilar registre sus lecciones aprendidas, casos de éxito y obstáculos superados, se construye un repositorio de buenas prácticas que facilita la mejora continua y reduce la curva de aprendizaje en proyectos futuros. El resultado esperado es un banco de conocimientos estructurado y accesible que permita replicar procesos eficientes de TT y evitar la repetición de errores. Como herramientas de apoyo se recomiendan formatos estandarizados de bitácora de proyecto, </w:t>
      </w:r>
      <w:r w:rsidRPr="0026557E">
        <w:rPr>
          <w:rFonts w:ascii="Times New Roman" w:hAnsi="Times New Roman" w:cs="Times New Roman"/>
          <w:sz w:val="24"/>
          <w:szCs w:val="24"/>
          <w:lang w:val="es-CO"/>
        </w:rPr>
        <w:lastRenderedPageBreak/>
        <w:t>plantillas de lecciones aprendidas (con campos de contexto, acción, resultado y recomendación) y un sistema de gestión documental digital con acceso controlado para todos los actores.</w:t>
      </w:r>
    </w:p>
    <w:p w14:paraId="765F0F74" w14:textId="77777777" w:rsidR="00A90D3E" w:rsidRPr="0026557E" w:rsidRDefault="00A90D3E" w:rsidP="00A90D3E">
      <w:pPr>
        <w:pStyle w:val="Descripcin"/>
        <w:keepNext/>
        <w:spacing w:line="360" w:lineRule="auto"/>
        <w:rPr>
          <w:rFonts w:ascii="Times New Roman" w:hAnsi="Times New Roman" w:cs="Times New Roman"/>
          <w:color w:val="auto"/>
          <w:sz w:val="24"/>
          <w:szCs w:val="24"/>
          <w:lang w:val="es-CO"/>
        </w:rPr>
      </w:pPr>
      <w:bookmarkStart w:id="4" w:name="_Toc203342502"/>
      <w:r w:rsidRPr="0026557E">
        <w:rPr>
          <w:rFonts w:ascii="Times New Roman" w:hAnsi="Times New Roman" w:cs="Times New Roman"/>
          <w:b/>
          <w:bCs/>
          <w:i w:val="0"/>
          <w:iCs w:val="0"/>
          <w:color w:val="auto"/>
          <w:sz w:val="24"/>
          <w:szCs w:val="24"/>
          <w:lang w:val="es-CO"/>
        </w:rPr>
        <w:t xml:space="preserve">Figura </w:t>
      </w:r>
      <w:r w:rsidRPr="0026557E">
        <w:rPr>
          <w:rFonts w:ascii="Times New Roman" w:hAnsi="Times New Roman" w:cs="Times New Roman"/>
          <w:b/>
          <w:bCs/>
          <w:i w:val="0"/>
          <w:iCs w:val="0"/>
          <w:color w:val="auto"/>
          <w:sz w:val="24"/>
          <w:szCs w:val="24"/>
        </w:rPr>
        <w:fldChar w:fldCharType="begin"/>
      </w:r>
      <w:r w:rsidRPr="0026557E">
        <w:rPr>
          <w:rFonts w:ascii="Times New Roman" w:hAnsi="Times New Roman" w:cs="Times New Roman"/>
          <w:b/>
          <w:bCs/>
          <w:i w:val="0"/>
          <w:iCs w:val="0"/>
          <w:color w:val="auto"/>
          <w:sz w:val="24"/>
          <w:szCs w:val="24"/>
          <w:lang w:val="es-CO"/>
        </w:rPr>
        <w:instrText xml:space="preserve"> SEQ Figura \* ARABIC </w:instrText>
      </w:r>
      <w:r w:rsidRPr="0026557E">
        <w:rPr>
          <w:rFonts w:ascii="Times New Roman" w:hAnsi="Times New Roman" w:cs="Times New Roman"/>
          <w:b/>
          <w:bCs/>
          <w:i w:val="0"/>
          <w:iCs w:val="0"/>
          <w:color w:val="auto"/>
          <w:sz w:val="24"/>
          <w:szCs w:val="24"/>
        </w:rPr>
        <w:fldChar w:fldCharType="separate"/>
      </w:r>
      <w:r w:rsidRPr="0026557E">
        <w:rPr>
          <w:rFonts w:ascii="Times New Roman" w:hAnsi="Times New Roman" w:cs="Times New Roman"/>
          <w:b/>
          <w:bCs/>
          <w:i w:val="0"/>
          <w:iCs w:val="0"/>
          <w:noProof/>
          <w:color w:val="auto"/>
          <w:sz w:val="24"/>
          <w:szCs w:val="24"/>
          <w:lang w:val="es-CO"/>
        </w:rPr>
        <w:t>12</w:t>
      </w:r>
      <w:r w:rsidRPr="0026557E">
        <w:rPr>
          <w:rFonts w:ascii="Times New Roman" w:hAnsi="Times New Roman" w:cs="Times New Roman"/>
          <w:b/>
          <w:bCs/>
          <w:i w:val="0"/>
          <w:iCs w:val="0"/>
          <w:color w:val="auto"/>
          <w:sz w:val="24"/>
          <w:szCs w:val="24"/>
        </w:rPr>
        <w:fldChar w:fldCharType="end"/>
      </w:r>
      <w:r w:rsidRPr="0026557E">
        <w:rPr>
          <w:rFonts w:ascii="Times New Roman" w:hAnsi="Times New Roman" w:cs="Times New Roman"/>
          <w:b/>
          <w:bCs/>
          <w:i w:val="0"/>
          <w:iCs w:val="0"/>
          <w:color w:val="auto"/>
          <w:sz w:val="24"/>
          <w:szCs w:val="24"/>
          <w:lang w:val="es-CO"/>
        </w:rPr>
        <w:t>.</w:t>
      </w:r>
      <w:r w:rsidRPr="0026557E">
        <w:rPr>
          <w:rFonts w:ascii="Times New Roman" w:hAnsi="Times New Roman" w:cs="Times New Roman"/>
          <w:color w:val="auto"/>
          <w:sz w:val="24"/>
          <w:szCs w:val="24"/>
          <w:lang w:val="es-CO"/>
        </w:rPr>
        <w:t xml:space="preserve"> </w:t>
      </w:r>
      <w:r w:rsidRPr="0026557E">
        <w:rPr>
          <w:rFonts w:ascii="Times New Roman" w:hAnsi="Times New Roman" w:cs="Times New Roman"/>
          <w:color w:val="auto"/>
          <w:sz w:val="24"/>
          <w:szCs w:val="24"/>
          <w:lang w:val="es-CO"/>
        </w:rPr>
        <w:br/>
        <w:t>Ejes operacionales de la propuesta</w:t>
      </w:r>
      <w:bookmarkEnd w:id="4"/>
    </w:p>
    <w:p w14:paraId="37E0D665" w14:textId="77777777" w:rsidR="00A90D3E" w:rsidRPr="0026557E" w:rsidRDefault="00A90D3E" w:rsidP="00A90D3E">
      <w:pPr>
        <w:spacing w:line="480" w:lineRule="auto"/>
        <w:jc w:val="center"/>
        <w:rPr>
          <w:rFonts w:ascii="Times New Roman" w:hAnsi="Times New Roman" w:cs="Times New Roman"/>
          <w:sz w:val="24"/>
          <w:szCs w:val="24"/>
        </w:rPr>
      </w:pPr>
      <w:r w:rsidRPr="0026557E">
        <w:rPr>
          <w:rFonts w:ascii="Times New Roman" w:hAnsi="Times New Roman" w:cs="Times New Roman"/>
          <w:noProof/>
          <w:sz w:val="24"/>
          <w:szCs w:val="24"/>
        </w:rPr>
        <w:drawing>
          <wp:inline distT="0" distB="0" distL="0" distR="0" wp14:anchorId="4765744A" wp14:editId="1A2B2522">
            <wp:extent cx="4905375" cy="2479276"/>
            <wp:effectExtent l="0" t="0" r="0" b="0"/>
            <wp:docPr id="516455616" name="Imagen 1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455616" name="Imagen 17" descr="Texto&#10;&#10;Descripción generada automáticamente con confianza med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3757" cy="2483512"/>
                    </a:xfrm>
                    <a:prstGeom prst="rect">
                      <a:avLst/>
                    </a:prstGeom>
                    <a:noFill/>
                    <a:ln>
                      <a:noFill/>
                    </a:ln>
                  </pic:spPr>
                </pic:pic>
              </a:graphicData>
            </a:graphic>
          </wp:inline>
        </w:drawing>
      </w:r>
    </w:p>
    <w:p w14:paraId="478DA0E8"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i/>
          <w:iCs/>
          <w:sz w:val="24"/>
          <w:szCs w:val="24"/>
          <w:lang w:val="es-CO"/>
        </w:rPr>
        <w:t xml:space="preserve">Eje de formación: </w:t>
      </w:r>
      <w:r w:rsidRPr="0026557E">
        <w:rPr>
          <w:rFonts w:ascii="Times New Roman" w:hAnsi="Times New Roman" w:cs="Times New Roman"/>
          <w:sz w:val="24"/>
          <w:szCs w:val="24"/>
          <w:lang w:val="es-CO"/>
        </w:rPr>
        <w:t xml:space="preserve"> este eje se focaliza en dotar a los equipos de transferencia de las competencias necesarias para operar MITT-Salud con agilidad y rigor. Este eje proporcionaría los talleres, cursos y materiales didácticos que explican el uso del cuestionario de </w:t>
      </w:r>
      <w:proofErr w:type="spellStart"/>
      <w:r w:rsidRPr="0026557E">
        <w:rPr>
          <w:rFonts w:ascii="Times New Roman" w:hAnsi="Times New Roman" w:cs="Times New Roman"/>
          <w:sz w:val="24"/>
          <w:szCs w:val="24"/>
          <w:lang w:val="es-CO"/>
        </w:rPr>
        <w:t>scoring</w:t>
      </w:r>
      <w:proofErr w:type="spellEnd"/>
      <w:r w:rsidRPr="0026557E">
        <w:rPr>
          <w:rFonts w:ascii="Times New Roman" w:hAnsi="Times New Roman" w:cs="Times New Roman"/>
          <w:sz w:val="24"/>
          <w:szCs w:val="24"/>
          <w:lang w:val="es-CO"/>
        </w:rPr>
        <w:t>, la aplicación de modelos de licenciamiento y la negociación de convenios, así como la interpretación de indicadores de pilotaje y de impacto. Al garantizar que en cada pilar existan profesionales capacitados en los métodos y las herramientas, se minimiza la dispersión de criterios y se acelera la toma de decisiones. El resultado esperado es un equipo interno con una base común de conocimientos y habilidades, capaz de implementar cada fase de forma autónoma y coherente. Como herramientas de apoyo se sugieren módulos de e-learning, guías paso a paso, talleres presenciales con casos de estudio y mentorías especializadas integradas al proceso de transferencia.</w:t>
      </w:r>
    </w:p>
    <w:p w14:paraId="1F62B14F"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Finalmente, el </w:t>
      </w:r>
      <w:r w:rsidRPr="0026557E">
        <w:rPr>
          <w:rFonts w:ascii="Times New Roman" w:hAnsi="Times New Roman" w:cs="Times New Roman"/>
          <w:i/>
          <w:iCs/>
          <w:sz w:val="24"/>
          <w:szCs w:val="24"/>
          <w:lang w:val="es-CO"/>
        </w:rPr>
        <w:t>eje de comunicación</w:t>
      </w:r>
      <w:r w:rsidRPr="0026557E">
        <w:rPr>
          <w:rFonts w:ascii="Times New Roman" w:hAnsi="Times New Roman" w:cs="Times New Roman"/>
          <w:sz w:val="24"/>
          <w:szCs w:val="24"/>
          <w:lang w:val="es-CO"/>
        </w:rPr>
        <w:t xml:space="preserve"> asegura que reguladores, mentores, investigadores y usuarios clínicos permanezcan sincronizados y comprometidos durante todo el ciclo de </w:t>
      </w:r>
      <w:r w:rsidRPr="0026557E">
        <w:rPr>
          <w:rFonts w:ascii="Times New Roman" w:hAnsi="Times New Roman" w:cs="Times New Roman"/>
          <w:sz w:val="24"/>
          <w:szCs w:val="24"/>
          <w:lang w:val="es-CO"/>
        </w:rPr>
        <w:lastRenderedPageBreak/>
        <w:t>transferencia. Este eje establece canales formales como reuniones periódicas, boletines electrónicos, plataformas colaborativas, para compartir avances, resolver bloqueos regulatorios y recoger retroalimentación temprana de los pilotos. Al integrarse en cada pilar, la comunicación evita silos de información y mantiene la confianza entre las partes. El resultado esperado es un flujo constante de información que refuerce la coordinación, facilite la adopción de decisiones oportunas y promueva una narrativa unificada del proyecto. Como herramientas de apoyo se recomiendan calendarios compartidos de hitos, foros de discusión en línea, plantillas de reporte de avances y protocolos de escalamiento de incidencias.</w:t>
      </w:r>
    </w:p>
    <w:p w14:paraId="2838F30D"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La convergencia de pilares estratégicos, ejes transversales y factores clave configura un enfoque integral que articula estructura y soporte en cada fase de transferencia. Los pilares definen el “qué” y el “cuándo”, los ejes operativos garantizan y soportan el “cómo” y los factores proveen el contexto para el “por qué”. Juntos, conforman un ciclo de mejora continua que traduce el diagnóstico local en decisiones de TT sólidas, acelerando la adopción y el impacto de las innovaciones sanitarias en Santander.</w:t>
      </w:r>
    </w:p>
    <w:p w14:paraId="2BD0FAE9"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rPr>
        <w:t xml:space="preserve">Asimismo, la MITT-Salud enlaza directamente los cinco subsistemas del ecosistema regional de innovación sanitaria con los pilares y ejes. Así, la priorización de proyectos involucra al subsistema tecnológico (incubadoras y laboratorios estructuran la evaluación de TRL) mientras que la protección temprana y el pilotaje colaborativo activan al subsistema científico-académico, donde grupos de investigación y universidades validan el know-how. Las alianzas y los acuerdos modulares ponen en juego al subsistema productivo, integrando a fabricantes, hospitales y clústeres en la cofinanciación y </w:t>
      </w:r>
      <w:proofErr w:type="spellStart"/>
      <w:r w:rsidRPr="0026557E">
        <w:rPr>
          <w:rFonts w:ascii="Times New Roman" w:hAnsi="Times New Roman" w:cs="Times New Roman"/>
          <w:sz w:val="24"/>
          <w:szCs w:val="24"/>
          <w:lang w:val="es-CO"/>
        </w:rPr>
        <w:t>co-desarrollo</w:t>
      </w:r>
      <w:proofErr w:type="spellEnd"/>
      <w:r w:rsidRPr="0026557E">
        <w:rPr>
          <w:rFonts w:ascii="Times New Roman" w:hAnsi="Times New Roman" w:cs="Times New Roman"/>
          <w:sz w:val="24"/>
          <w:szCs w:val="24"/>
          <w:lang w:val="es-CO"/>
        </w:rPr>
        <w:t xml:space="preserve">, y el diseño de esquemas de desembolso condicionado a hitos articula al subsistema financiero con fondos públicos, bancos de segundo piso y capital de riesgo. Finalmente, la gobernanza clínica y los ejes transversales de documentación, formación y comunicación son la fuerza del subsistema facilitador, asegurando la coordinación regulatoria y la movilización de recursos necesarios a </w:t>
      </w:r>
      <w:r w:rsidRPr="0026557E">
        <w:rPr>
          <w:rFonts w:ascii="Times New Roman" w:hAnsi="Times New Roman" w:cs="Times New Roman"/>
          <w:sz w:val="24"/>
          <w:szCs w:val="24"/>
          <w:lang w:val="es-CO"/>
        </w:rPr>
        <w:lastRenderedPageBreak/>
        <w:t>lo largo de todo el ciclo de transferencia. De este modo, MITT-Salud convierte cada pilar en un punto de encuentro para los actores clave de cada subsistema, maximizando el valor y la sostenibilidad de las innovaciones sanitarias en Santander.</w:t>
      </w:r>
    </w:p>
    <w:p w14:paraId="0B369789" w14:textId="77777777" w:rsidR="00A90D3E" w:rsidRPr="0026557E" w:rsidRDefault="00A90D3E" w:rsidP="004F34B8">
      <w:pPr>
        <w:pStyle w:val="Ttulo2"/>
        <w:numPr>
          <w:ilvl w:val="1"/>
          <w:numId w:val="5"/>
        </w:numPr>
        <w:rPr>
          <w:rFonts w:cs="Times New Roman"/>
        </w:rPr>
      </w:pPr>
      <w:bookmarkStart w:id="5" w:name="_Toc203345410"/>
      <w:proofErr w:type="spellStart"/>
      <w:r w:rsidRPr="0026557E">
        <w:rPr>
          <w:rFonts w:cs="Times New Roman"/>
        </w:rPr>
        <w:t>Limitaciones</w:t>
      </w:r>
      <w:proofErr w:type="spellEnd"/>
      <w:r w:rsidRPr="0026557E">
        <w:rPr>
          <w:rFonts w:cs="Times New Roman"/>
        </w:rPr>
        <w:t xml:space="preserve"> y </w:t>
      </w:r>
      <w:proofErr w:type="spellStart"/>
      <w:r w:rsidRPr="0026557E">
        <w:rPr>
          <w:rFonts w:cs="Times New Roman"/>
        </w:rPr>
        <w:t>consideraciones</w:t>
      </w:r>
      <w:proofErr w:type="spellEnd"/>
      <w:r w:rsidRPr="0026557E">
        <w:rPr>
          <w:rFonts w:cs="Times New Roman"/>
        </w:rPr>
        <w:t xml:space="preserve"> finales</w:t>
      </w:r>
      <w:bookmarkEnd w:id="5"/>
    </w:p>
    <w:p w14:paraId="486022E8" w14:textId="77777777" w:rsidR="00A90D3E" w:rsidRPr="0026557E" w:rsidRDefault="00A90D3E" w:rsidP="00A90D3E">
      <w:pPr>
        <w:rPr>
          <w:rFonts w:ascii="Times New Roman" w:hAnsi="Times New Roman" w:cs="Times New Roman"/>
          <w:sz w:val="24"/>
          <w:szCs w:val="24"/>
          <w:lang w:eastAsia="es-CO"/>
        </w:rPr>
      </w:pPr>
    </w:p>
    <w:p w14:paraId="2B280AB4" w14:textId="77777777" w:rsidR="00A90D3E" w:rsidRPr="0026557E" w:rsidRDefault="00A90D3E" w:rsidP="00A90D3E">
      <w:pPr>
        <w:spacing w:line="480" w:lineRule="auto"/>
        <w:ind w:firstLine="720"/>
        <w:jc w:val="both"/>
        <w:rPr>
          <w:rFonts w:ascii="Times New Roman" w:hAnsi="Times New Roman" w:cs="Times New Roman"/>
          <w:sz w:val="24"/>
          <w:szCs w:val="24"/>
          <w:lang w:val="es-CO"/>
        </w:rPr>
      </w:pPr>
      <w:r w:rsidRPr="0026557E">
        <w:rPr>
          <w:rFonts w:ascii="Times New Roman" w:hAnsi="Times New Roman" w:cs="Times New Roman"/>
          <w:sz w:val="24"/>
          <w:szCs w:val="24"/>
          <w:lang w:val="es-CO" w:eastAsia="es-CO"/>
        </w:rPr>
        <w:t>En este apartado se reconocen los principales limitaciones y restricciones de la propuesta MITT-Salud, así como las reflexiones que deberán guiar su adaptación y mejora continua. Se analizan su naturaleza teórica y las necesidades de validación práctica y se ofrecen recomendaciones para su despliegue en contextos reales, considerando las variables institucionales, regulatorias y culturales propias del sistema de salud de Santander. Con ello, se busca cerrar el ciclo de este estudio proporcionando una hoja de ruta clara para afianzar la transferencia tecnológica sanitaria en la regió</w:t>
      </w:r>
      <w:r w:rsidRPr="0026557E">
        <w:rPr>
          <w:rFonts w:ascii="Times New Roman" w:hAnsi="Times New Roman" w:cs="Times New Roman"/>
          <w:sz w:val="24"/>
          <w:szCs w:val="24"/>
          <w:lang w:val="es-CO"/>
        </w:rPr>
        <w:t>n.</w:t>
      </w:r>
    </w:p>
    <w:p w14:paraId="3A2F6EDD" w14:textId="4D58F472" w:rsidR="00A90D3E" w:rsidRPr="0026557E" w:rsidRDefault="00A90D3E" w:rsidP="004F34B8">
      <w:pPr>
        <w:pStyle w:val="Ttulo3"/>
        <w:numPr>
          <w:ilvl w:val="2"/>
          <w:numId w:val="5"/>
        </w:numPr>
        <w:rPr>
          <w:rFonts w:cs="Times New Roman"/>
          <w:lang w:val="es-CO"/>
        </w:rPr>
      </w:pPr>
      <w:bookmarkStart w:id="6" w:name="_Toc203345411"/>
      <w:r w:rsidRPr="0026557E">
        <w:rPr>
          <w:rFonts w:cs="Times New Roman"/>
          <w:lang w:val="es-CO"/>
        </w:rPr>
        <w:t>Ámbito teórico y validación futura</w:t>
      </w:r>
      <w:bookmarkEnd w:id="6"/>
    </w:p>
    <w:p w14:paraId="48BCD519" w14:textId="77777777" w:rsidR="00A90D3E" w:rsidRPr="0026557E" w:rsidRDefault="00A90D3E" w:rsidP="00A90D3E">
      <w:pPr>
        <w:rPr>
          <w:rFonts w:ascii="Times New Roman" w:hAnsi="Times New Roman" w:cs="Times New Roman"/>
          <w:sz w:val="24"/>
          <w:szCs w:val="24"/>
          <w:lang w:val="es-CO" w:eastAsia="es-CO"/>
        </w:rPr>
      </w:pPr>
    </w:p>
    <w:p w14:paraId="0F47FE7F" w14:textId="77777777" w:rsidR="00A90D3E" w:rsidRPr="0026557E" w:rsidRDefault="00A90D3E" w:rsidP="00A90D3E">
      <w:pPr>
        <w:spacing w:line="480" w:lineRule="auto"/>
        <w:jc w:val="both"/>
        <w:rPr>
          <w:rFonts w:ascii="Times New Roman" w:hAnsi="Times New Roman" w:cs="Times New Roman"/>
          <w:sz w:val="24"/>
          <w:szCs w:val="24"/>
          <w:lang w:eastAsia="es-CO"/>
        </w:rPr>
      </w:pPr>
      <w:r w:rsidRPr="0026557E">
        <w:rPr>
          <w:rFonts w:ascii="Times New Roman" w:hAnsi="Times New Roman" w:cs="Times New Roman"/>
          <w:sz w:val="24"/>
          <w:szCs w:val="24"/>
          <w:lang w:val="es-CO" w:eastAsia="es-CO"/>
        </w:rPr>
        <w:t xml:space="preserve">La propuesta metodológica MITT-Salud nace de un ejercicio integral de revisión bibliográfica, diagnóstico territorial y análisis de casos de éxito, lo que le otorga un sólido sustento conceptual. No obstante, su carácter fundamentalmente teórico implica que su efectividad y aplicabilidad práctica aún requieren validación en entornos reales. </w:t>
      </w:r>
      <w:r w:rsidRPr="0026557E">
        <w:rPr>
          <w:rFonts w:ascii="Times New Roman" w:hAnsi="Times New Roman" w:cs="Times New Roman"/>
          <w:sz w:val="24"/>
          <w:szCs w:val="24"/>
          <w:lang w:eastAsia="es-CO"/>
        </w:rPr>
        <w:t xml:space="preserve">En </w:t>
      </w:r>
      <w:proofErr w:type="spellStart"/>
      <w:r w:rsidRPr="0026557E">
        <w:rPr>
          <w:rFonts w:ascii="Times New Roman" w:hAnsi="Times New Roman" w:cs="Times New Roman"/>
          <w:sz w:val="24"/>
          <w:szCs w:val="24"/>
          <w:lang w:eastAsia="es-CO"/>
        </w:rPr>
        <w:t>este</w:t>
      </w:r>
      <w:proofErr w:type="spellEnd"/>
      <w:r w:rsidRPr="0026557E">
        <w:rPr>
          <w:rFonts w:ascii="Times New Roman" w:hAnsi="Times New Roman" w:cs="Times New Roman"/>
          <w:sz w:val="24"/>
          <w:szCs w:val="24"/>
          <w:lang w:eastAsia="es-CO"/>
        </w:rPr>
        <w:t xml:space="preserve"> </w:t>
      </w:r>
      <w:proofErr w:type="spellStart"/>
      <w:r w:rsidRPr="0026557E">
        <w:rPr>
          <w:rFonts w:ascii="Times New Roman" w:hAnsi="Times New Roman" w:cs="Times New Roman"/>
          <w:sz w:val="24"/>
          <w:szCs w:val="24"/>
          <w:lang w:eastAsia="es-CO"/>
        </w:rPr>
        <w:t>sentido</w:t>
      </w:r>
      <w:proofErr w:type="spellEnd"/>
      <w:r w:rsidRPr="0026557E">
        <w:rPr>
          <w:rFonts w:ascii="Times New Roman" w:hAnsi="Times New Roman" w:cs="Times New Roman"/>
          <w:sz w:val="24"/>
          <w:szCs w:val="24"/>
          <w:lang w:eastAsia="es-CO"/>
        </w:rPr>
        <w:t>:</w:t>
      </w:r>
    </w:p>
    <w:p w14:paraId="57FAFC84" w14:textId="77777777" w:rsidR="00A90D3E" w:rsidRPr="0026557E" w:rsidRDefault="00A90D3E" w:rsidP="00A90D3E">
      <w:pPr>
        <w:pStyle w:val="Prrafodelista"/>
        <w:numPr>
          <w:ilvl w:val="0"/>
          <w:numId w:val="2"/>
        </w:numPr>
        <w:spacing w:line="480" w:lineRule="auto"/>
        <w:jc w:val="both"/>
        <w:rPr>
          <w:rFonts w:cs="Times New Roman"/>
          <w:szCs w:val="24"/>
        </w:rPr>
      </w:pPr>
      <w:r w:rsidRPr="0026557E">
        <w:rPr>
          <w:rFonts w:cs="Times New Roman"/>
          <w:i/>
          <w:iCs/>
          <w:szCs w:val="24"/>
        </w:rPr>
        <w:t>Alcance conceptual:</w:t>
      </w:r>
      <w:r w:rsidRPr="0026557E">
        <w:rPr>
          <w:rFonts w:cs="Times New Roman"/>
          <w:szCs w:val="24"/>
        </w:rPr>
        <w:t xml:space="preserve"> MITT-Salud ha sido diseñado para guiar a los actores del SNCTI en salud en Santander, pero sus pilares, ejes transversales y factores clave se apoyan en marcos nacionales e internacionales (OMPI, OMS, Minciencias, Minsalud) y en evidencia de literatura académica y práctica de transferencia tecnológica.</w:t>
      </w:r>
    </w:p>
    <w:p w14:paraId="52B63E80" w14:textId="77777777" w:rsidR="00A90D3E" w:rsidRPr="0026557E" w:rsidRDefault="00A90D3E" w:rsidP="00A90D3E">
      <w:pPr>
        <w:pStyle w:val="Prrafodelista"/>
        <w:numPr>
          <w:ilvl w:val="0"/>
          <w:numId w:val="2"/>
        </w:numPr>
        <w:spacing w:line="480" w:lineRule="auto"/>
        <w:jc w:val="both"/>
        <w:rPr>
          <w:rFonts w:cs="Times New Roman"/>
          <w:szCs w:val="24"/>
        </w:rPr>
      </w:pPr>
      <w:r w:rsidRPr="0026557E">
        <w:rPr>
          <w:rFonts w:cs="Times New Roman"/>
          <w:i/>
          <w:iCs/>
          <w:szCs w:val="24"/>
        </w:rPr>
        <w:t>Limitaciones de la aplicación inmediata</w:t>
      </w:r>
      <w:r w:rsidRPr="0026557E">
        <w:rPr>
          <w:rFonts w:cs="Times New Roman"/>
          <w:szCs w:val="24"/>
        </w:rPr>
        <w:t>: Hasta ahora, no se ha probado en proyectos piloto controlados ni en evaluaciones comparativas entre instituciones. Su éxito dependerá de la capacidad de cada organización para adaptar las herramientas de sugeridas a sus propios procesos internos y marcos regulatorios locales.</w:t>
      </w:r>
    </w:p>
    <w:p w14:paraId="34889994" w14:textId="77777777" w:rsidR="00A90D3E" w:rsidRPr="0026557E" w:rsidRDefault="00A90D3E" w:rsidP="00A90D3E">
      <w:pPr>
        <w:pStyle w:val="Prrafodelista"/>
        <w:numPr>
          <w:ilvl w:val="0"/>
          <w:numId w:val="2"/>
        </w:numPr>
        <w:spacing w:line="480" w:lineRule="auto"/>
        <w:jc w:val="both"/>
        <w:rPr>
          <w:rFonts w:cs="Times New Roman"/>
          <w:szCs w:val="24"/>
        </w:rPr>
      </w:pPr>
      <w:r w:rsidRPr="0026557E">
        <w:rPr>
          <w:rFonts w:cs="Times New Roman"/>
          <w:i/>
          <w:iCs/>
          <w:szCs w:val="24"/>
        </w:rPr>
        <w:lastRenderedPageBreak/>
        <w:t>Hoja de ruta para validación:</w:t>
      </w:r>
      <w:r w:rsidRPr="0026557E">
        <w:rPr>
          <w:rFonts w:cs="Times New Roman"/>
          <w:szCs w:val="24"/>
        </w:rPr>
        <w:t xml:space="preserve"> Se recomienda implementar MITT-Salud en un grupo reducido de casos piloto: por ejemplo, en dos universidades y dos hospitales, para recoger datos cualitativos y cuantitativos sobre eficiencia de procesos, tiempos de aprobación y resultados clínicos. Estos datos permitirán definir indicadores de medición por tipo de actor y ajustar las herramientas propuestas en cada uno de los pilares.</w:t>
      </w:r>
    </w:p>
    <w:p w14:paraId="77789DE0" w14:textId="77777777" w:rsidR="00A90D3E" w:rsidRPr="0026557E" w:rsidRDefault="00A90D3E" w:rsidP="00A90D3E">
      <w:pPr>
        <w:pStyle w:val="Prrafodelista"/>
        <w:numPr>
          <w:ilvl w:val="0"/>
          <w:numId w:val="2"/>
        </w:numPr>
        <w:spacing w:line="480" w:lineRule="auto"/>
        <w:jc w:val="both"/>
        <w:rPr>
          <w:rFonts w:cs="Times New Roman"/>
          <w:szCs w:val="24"/>
        </w:rPr>
      </w:pPr>
      <w:r w:rsidRPr="0026557E">
        <w:rPr>
          <w:rFonts w:cs="Times New Roman"/>
          <w:i/>
          <w:iCs/>
          <w:szCs w:val="24"/>
        </w:rPr>
        <w:t>Próximos pasos de investigación:</w:t>
      </w:r>
      <w:r w:rsidRPr="0026557E">
        <w:rPr>
          <w:rFonts w:cs="Times New Roman"/>
          <w:szCs w:val="24"/>
        </w:rPr>
        <w:t xml:space="preserve"> Una evaluación mixta, que combine seguimiento de indicadores (</w:t>
      </w:r>
      <w:proofErr w:type="spellStart"/>
      <w:r w:rsidRPr="0026557E">
        <w:rPr>
          <w:rFonts w:cs="Times New Roman"/>
          <w:szCs w:val="24"/>
        </w:rPr>
        <w:t>KPIs</w:t>
      </w:r>
      <w:proofErr w:type="spellEnd"/>
      <w:r w:rsidRPr="0026557E">
        <w:rPr>
          <w:rFonts w:cs="Times New Roman"/>
          <w:szCs w:val="24"/>
        </w:rPr>
        <w:t>) y entrevistas semiestructuradas a gestores, aportará evidencia sobre la fiabilidad, viabilidad y escalabilidad de la metodología integral. Asimismo, la comparación con otras metodologías de TT en otros sectores y en regiones similares, permitirá identificar brechas y oportunidades de mejora.</w:t>
      </w:r>
    </w:p>
    <w:p w14:paraId="694D95C8" w14:textId="77777777" w:rsidR="00A90D3E" w:rsidRPr="0026557E" w:rsidRDefault="00A90D3E" w:rsidP="00A90D3E">
      <w:pPr>
        <w:spacing w:line="480" w:lineRule="auto"/>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En conjunto, esta fase de validación futura consolidará a MITT-Salud como una metodología operativa y replicable, fortaleciendo su posicionamiento teórico con resultados empíricos que respalden su adopción en el sistema de salud regional y más allá.</w:t>
      </w:r>
    </w:p>
    <w:p w14:paraId="6077F9CA" w14:textId="09B21E06" w:rsidR="00A90D3E" w:rsidRPr="0026557E" w:rsidRDefault="00A90D3E" w:rsidP="004F34B8">
      <w:pPr>
        <w:pStyle w:val="Ttulo3"/>
        <w:numPr>
          <w:ilvl w:val="2"/>
          <w:numId w:val="5"/>
        </w:numPr>
        <w:rPr>
          <w:rFonts w:cs="Times New Roman"/>
          <w:lang w:val="es-CO"/>
        </w:rPr>
      </w:pPr>
      <w:bookmarkStart w:id="7" w:name="_Toc203345412"/>
      <w:r w:rsidRPr="0026557E">
        <w:rPr>
          <w:rFonts w:cs="Times New Roman"/>
          <w:lang w:val="es-CO"/>
        </w:rPr>
        <w:t>Sugerencias para implementación</w:t>
      </w:r>
      <w:bookmarkEnd w:id="7"/>
    </w:p>
    <w:p w14:paraId="75B695F1" w14:textId="77777777" w:rsidR="00A90D3E" w:rsidRPr="0026557E" w:rsidRDefault="00A90D3E" w:rsidP="00A90D3E">
      <w:pPr>
        <w:spacing w:line="480" w:lineRule="auto"/>
        <w:ind w:firstLine="720"/>
        <w:jc w:val="both"/>
        <w:rPr>
          <w:rFonts w:ascii="Times New Roman" w:hAnsi="Times New Roman" w:cs="Times New Roman"/>
          <w:sz w:val="24"/>
          <w:szCs w:val="24"/>
          <w:lang w:val="es-CO" w:eastAsia="es-CO"/>
        </w:rPr>
      </w:pPr>
    </w:p>
    <w:p w14:paraId="78A33D67" w14:textId="77777777" w:rsidR="00A90D3E" w:rsidRPr="0026557E" w:rsidRDefault="00A90D3E" w:rsidP="00A90D3E">
      <w:pPr>
        <w:spacing w:line="480" w:lineRule="auto"/>
        <w:ind w:firstLine="720"/>
        <w:jc w:val="both"/>
        <w:rPr>
          <w:rFonts w:ascii="Times New Roman" w:hAnsi="Times New Roman" w:cs="Times New Roman"/>
          <w:sz w:val="24"/>
          <w:szCs w:val="24"/>
          <w:lang w:val="es-CO" w:eastAsia="es-CO"/>
        </w:rPr>
      </w:pPr>
      <w:r w:rsidRPr="0026557E">
        <w:rPr>
          <w:rFonts w:ascii="Times New Roman" w:hAnsi="Times New Roman" w:cs="Times New Roman"/>
          <w:sz w:val="24"/>
          <w:szCs w:val="24"/>
          <w:lang w:val="es-CO" w:eastAsia="es-CO"/>
        </w:rPr>
        <w:t>Para facilitar la adopción de MITT-Salud en el contexto regional, se proponen las siguientes recomendaciones prácticas:</w:t>
      </w:r>
    </w:p>
    <w:p w14:paraId="29778631"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Pilotos de arranque:</w:t>
      </w:r>
      <w:r w:rsidRPr="0026557E">
        <w:rPr>
          <w:rFonts w:cs="Times New Roman"/>
          <w:szCs w:val="24"/>
        </w:rPr>
        <w:t xml:space="preserve"> Seleccionar dos o tres proyectos de diversa naturaleza (software clínico, dispositivo médico, fármaco, proceso de atención) para aplicar la metodología completa y ajustar plantillas, </w:t>
      </w:r>
      <w:proofErr w:type="spellStart"/>
      <w:r w:rsidRPr="0026557E">
        <w:rPr>
          <w:rFonts w:cs="Times New Roman"/>
          <w:szCs w:val="24"/>
        </w:rPr>
        <w:t>scoring</w:t>
      </w:r>
      <w:proofErr w:type="spellEnd"/>
      <w:r w:rsidRPr="0026557E">
        <w:rPr>
          <w:rFonts w:cs="Times New Roman"/>
          <w:szCs w:val="24"/>
        </w:rPr>
        <w:t xml:space="preserve"> y flujos de trabajo antes de escalarla al resto de la institución.</w:t>
      </w:r>
    </w:p>
    <w:p w14:paraId="6963BD52"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Comité de gobernanza transdisciplinar</w:t>
      </w:r>
      <w:r w:rsidRPr="0026557E">
        <w:rPr>
          <w:rFonts w:cs="Times New Roman"/>
          <w:szCs w:val="24"/>
        </w:rPr>
        <w:t xml:space="preserve">: Conformar un equipo permanente con representantes de la dirección de investigación, la oficina de transferencia, la unidad de I+D+i hospitalaria, el área legal y un mentor externo. Este comité validará las </w:t>
      </w:r>
      <w:r w:rsidRPr="0026557E">
        <w:rPr>
          <w:rFonts w:cs="Times New Roman"/>
          <w:szCs w:val="24"/>
        </w:rPr>
        <w:lastRenderedPageBreak/>
        <w:t>decisiones de priorización, supervisará la protección de PI y servirá de puente con INVIMA y las Secretarías de Salud.</w:t>
      </w:r>
    </w:p>
    <w:p w14:paraId="3262E37B"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Capacitación en cascada:</w:t>
      </w:r>
      <w:r w:rsidRPr="0026557E">
        <w:rPr>
          <w:rFonts w:cs="Times New Roman"/>
          <w:szCs w:val="24"/>
        </w:rPr>
        <w:t xml:space="preserve"> Implementar un programa de “formación de formadores” que, tras capacitar a los líderes de cada pilar, multiplique rápidamente el conocimiento en </w:t>
      </w:r>
      <w:proofErr w:type="spellStart"/>
      <w:r w:rsidRPr="0026557E">
        <w:rPr>
          <w:rFonts w:cs="Times New Roman"/>
          <w:szCs w:val="24"/>
        </w:rPr>
        <w:t>scoring</w:t>
      </w:r>
      <w:proofErr w:type="spellEnd"/>
      <w:r w:rsidRPr="0026557E">
        <w:rPr>
          <w:rFonts w:cs="Times New Roman"/>
          <w:szCs w:val="24"/>
        </w:rPr>
        <w:t>, licenciamiento y pilotaje colaborativo entre los equipos técnicos y clínicos.</w:t>
      </w:r>
    </w:p>
    <w:p w14:paraId="16BDC6B8"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Banco de lecciones en línea:</w:t>
      </w:r>
      <w:r w:rsidRPr="0026557E">
        <w:rPr>
          <w:rFonts w:cs="Times New Roman"/>
          <w:szCs w:val="24"/>
        </w:rPr>
        <w:t xml:space="preserve"> Poner en marcha desde el día 0 un repositorio centralizado donde se documenten las lecciones aprendidas, los obstáculos reglamentarios y los casos exitosos, de modo que el conocimiento sea accesible y reutilizable en tiempo real.</w:t>
      </w:r>
    </w:p>
    <w:p w14:paraId="097D3CF1"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Monitoreo de indicadores clave:</w:t>
      </w:r>
      <w:r w:rsidRPr="0026557E">
        <w:rPr>
          <w:rFonts w:cs="Times New Roman"/>
          <w:szCs w:val="24"/>
        </w:rPr>
        <w:t xml:space="preserve"> Definir un tablero de control con métricas operativas (tiempos de aprobación regulatoria, número de convenios, ciclos de pilotaje) y de impacto clínico (reducción de tiempos de espera, mejoras en la adherencia), que se revise trimestralmente para ajustar la implementación.</w:t>
      </w:r>
    </w:p>
    <w:p w14:paraId="24979097" w14:textId="77777777" w:rsidR="00A90D3E" w:rsidRPr="0026557E" w:rsidRDefault="00A90D3E" w:rsidP="00A90D3E">
      <w:pPr>
        <w:pStyle w:val="Prrafodelista"/>
        <w:numPr>
          <w:ilvl w:val="0"/>
          <w:numId w:val="3"/>
        </w:numPr>
        <w:spacing w:line="480" w:lineRule="auto"/>
        <w:ind w:left="851" w:hanging="425"/>
        <w:jc w:val="both"/>
        <w:rPr>
          <w:rFonts w:cs="Times New Roman"/>
          <w:szCs w:val="24"/>
        </w:rPr>
      </w:pPr>
      <w:r w:rsidRPr="0026557E">
        <w:rPr>
          <w:rFonts w:cs="Times New Roman"/>
          <w:i/>
          <w:iCs/>
          <w:szCs w:val="24"/>
        </w:rPr>
        <w:t>Vinculación con redes externas:</w:t>
      </w:r>
      <w:r w:rsidRPr="0026557E">
        <w:rPr>
          <w:rFonts w:cs="Times New Roman"/>
          <w:szCs w:val="24"/>
        </w:rPr>
        <w:t xml:space="preserve"> Establecer nexos formales con agencias nacionales (Minciencias, </w:t>
      </w:r>
      <w:proofErr w:type="spellStart"/>
      <w:r w:rsidRPr="0026557E">
        <w:rPr>
          <w:rFonts w:cs="Times New Roman"/>
          <w:szCs w:val="24"/>
        </w:rPr>
        <w:t>Innpulsa</w:t>
      </w:r>
      <w:proofErr w:type="spellEnd"/>
      <w:r w:rsidRPr="0026557E">
        <w:rPr>
          <w:rFonts w:cs="Times New Roman"/>
          <w:szCs w:val="24"/>
        </w:rPr>
        <w:t>) y alianzas internacionales para atraer cofinanciamiento, acceder a buenas prácticas y validar la metodología en otros entornos de salud.</w:t>
      </w:r>
    </w:p>
    <w:p w14:paraId="6592BCAE" w14:textId="77777777" w:rsidR="00A90D3E" w:rsidRPr="0026557E" w:rsidRDefault="00A90D3E" w:rsidP="00A90D3E">
      <w:pPr>
        <w:spacing w:line="480" w:lineRule="auto"/>
        <w:ind w:left="425" w:firstLine="720"/>
        <w:jc w:val="both"/>
        <w:rPr>
          <w:rFonts w:ascii="Times New Roman" w:hAnsi="Times New Roman" w:cs="Times New Roman"/>
          <w:sz w:val="24"/>
          <w:szCs w:val="24"/>
          <w:lang w:val="es-CO"/>
        </w:rPr>
        <w:sectPr w:rsidR="00A90D3E" w:rsidRPr="0026557E" w:rsidSect="00560E2C">
          <w:pgSz w:w="11920" w:h="16840"/>
          <w:pgMar w:top="1440" w:right="1440" w:bottom="1440" w:left="1440" w:header="720" w:footer="720" w:gutter="0"/>
          <w:cols w:space="720"/>
          <w:docGrid w:linePitch="326"/>
        </w:sectPr>
      </w:pPr>
      <w:r w:rsidRPr="0026557E">
        <w:rPr>
          <w:rFonts w:ascii="Times New Roman" w:hAnsi="Times New Roman" w:cs="Times New Roman"/>
          <w:sz w:val="24"/>
          <w:szCs w:val="24"/>
          <w:lang w:val="es-CO"/>
        </w:rPr>
        <w:t>Con estas acciones, MITT-Salud no sólo se adapta al entorno de Santander, sino que crea un modelo replicable que, una vez afinado, puede exportarse a otras regiones y consolidarse como estándar en la transferencia tecnológica sanitaria.</w:t>
      </w:r>
    </w:p>
    <w:p w14:paraId="68C3D88A" w14:textId="77777777" w:rsidR="0000206C" w:rsidRPr="0026557E" w:rsidRDefault="0000206C">
      <w:pPr>
        <w:rPr>
          <w:rFonts w:ascii="Times New Roman" w:hAnsi="Times New Roman" w:cs="Times New Roman"/>
          <w:sz w:val="24"/>
          <w:szCs w:val="24"/>
          <w:lang w:val="es-CO"/>
        </w:rPr>
      </w:pPr>
    </w:p>
    <w:p w14:paraId="7A082786" w14:textId="282015ED" w:rsidR="0000206C" w:rsidRPr="0026557E" w:rsidRDefault="0000206C" w:rsidP="0000206C">
      <w:pPr>
        <w:pStyle w:val="CitaviBibliographyEntry"/>
        <w:spacing w:line="360" w:lineRule="auto"/>
        <w:rPr>
          <w:rFonts w:ascii="Times New Roman" w:hAnsi="Times New Roman" w:cs="Times New Roman"/>
          <w:sz w:val="24"/>
          <w:szCs w:val="24"/>
          <w:lang w:val="es-CO"/>
        </w:rPr>
      </w:pPr>
    </w:p>
    <w:p w14:paraId="4CFE1B17" w14:textId="77777777" w:rsidR="0000206C" w:rsidRDefault="0000206C" w:rsidP="0000206C">
      <w:pPr>
        <w:rPr>
          <w:rFonts w:ascii="Times New Roman" w:hAnsi="Times New Roman" w:cs="Times New Roman"/>
          <w:sz w:val="24"/>
          <w:szCs w:val="24"/>
          <w:lang w:val="es-CO"/>
        </w:rPr>
      </w:pPr>
    </w:p>
    <w:sdt>
      <w:sdtPr>
        <w:rPr>
          <w:rFonts w:asciiTheme="minorHAnsi" w:eastAsiaTheme="minorHAnsi" w:hAnsiTheme="minorHAnsi" w:cs="Times New Roman"/>
          <w:b w:val="0"/>
          <w:sz w:val="22"/>
          <w:szCs w:val="22"/>
          <w:lang w:val="es-CO"/>
        </w:rPr>
        <w:tag w:val="CitaviBibliography"/>
        <w:id w:val="-1178034760"/>
        <w:placeholder>
          <w:docPart w:val="DefaultPlaceholder_-1854013440"/>
        </w:placeholder>
      </w:sdtPr>
      <w:sdtContent>
        <w:p w14:paraId="059C612C" w14:textId="433D3D97" w:rsidR="00F670C5" w:rsidRPr="00F670C5" w:rsidRDefault="0026557E" w:rsidP="00F670C5">
          <w:pPr>
            <w:pStyle w:val="CitaviBibliographyHeading"/>
            <w:spacing w:line="480" w:lineRule="auto"/>
            <w:jc w:val="center"/>
            <w:rPr>
              <w:rFonts w:cs="Times New Roman"/>
              <w:lang w:val="es-CO"/>
            </w:rPr>
          </w:pPr>
          <w:r w:rsidRPr="00F670C5">
            <w:rPr>
              <w:rFonts w:cs="Times New Roman"/>
              <w:lang w:val="es-CO"/>
            </w:rPr>
            <w:fldChar w:fldCharType="begin"/>
          </w:r>
          <w:r w:rsidRPr="00F670C5">
            <w:rPr>
              <w:rFonts w:cs="Times New Roman"/>
              <w:lang w:val="es-CO"/>
            </w:rPr>
            <w:instrText>ADDIN CitaviBibliography</w:instrText>
          </w:r>
          <w:r w:rsidRPr="00F670C5">
            <w:rPr>
              <w:rFonts w:cs="Times New Roman"/>
              <w:lang w:val="es-CO"/>
            </w:rPr>
            <w:fldChar w:fldCharType="separate"/>
          </w:r>
          <w:r w:rsidR="00D01959" w:rsidRPr="00F670C5">
            <w:rPr>
              <w:rFonts w:cs="Times New Roman"/>
              <w:lang w:val="es-CO"/>
            </w:rPr>
            <w:t>Referencias</w:t>
          </w:r>
          <w:r w:rsidR="00F670C5" w:rsidRPr="00F670C5">
            <w:rPr>
              <w:rFonts w:cs="Times New Roman"/>
              <w:lang w:val="es-CO"/>
            </w:rPr>
            <w:t xml:space="preserve"> Bibliográficas</w:t>
          </w:r>
          <w:r w:rsidR="00F670C5" w:rsidRPr="00F670C5">
            <w:rPr>
              <w:rFonts w:cs="Times New Roman"/>
              <w:lang w:val="es-CO"/>
            </w:rPr>
            <w:br/>
          </w:r>
        </w:p>
        <w:p w14:paraId="7019D515" w14:textId="773405F8" w:rsidR="0026557E" w:rsidRPr="00F670C5" w:rsidRDefault="00D01959" w:rsidP="00F670C5">
          <w:pPr>
            <w:pStyle w:val="CitaviBibliographyEntry"/>
            <w:spacing w:line="480" w:lineRule="auto"/>
            <w:rPr>
              <w:rFonts w:ascii="Times New Roman" w:hAnsi="Times New Roman" w:cs="Times New Roman"/>
              <w:lang w:val="es-CO"/>
            </w:rPr>
          </w:pPr>
          <w:bookmarkStart w:id="8" w:name="_CTVL0014d1f6dfd592345f8886f2a4547eb1e71"/>
          <w:r w:rsidRPr="00F670C5">
            <w:rPr>
              <w:rFonts w:ascii="Times New Roman" w:hAnsi="Times New Roman" w:cs="Times New Roman"/>
              <w:lang w:val="es-CO"/>
            </w:rPr>
            <w:t>Benavides, O., Mayumi, Gómez-Restrepo y Carlos (2005). Métodos en investigación cualitativa: triangulación.</w:t>
          </w:r>
          <w:bookmarkEnd w:id="8"/>
          <w:r w:rsidRPr="00F670C5">
            <w:rPr>
              <w:rFonts w:ascii="Times New Roman" w:hAnsi="Times New Roman" w:cs="Times New Roman"/>
              <w:lang w:val="es-CO"/>
            </w:rPr>
            <w:t xml:space="preserve"> </w:t>
          </w:r>
          <w:r w:rsidRPr="00F670C5">
            <w:rPr>
              <w:rFonts w:ascii="Times New Roman" w:hAnsi="Times New Roman" w:cs="Times New Roman"/>
              <w:i/>
              <w:lang w:val="es-CO"/>
            </w:rPr>
            <w:t>Revista Colombiana De Psiquiatría</w:t>
          </w:r>
          <w:r w:rsidRPr="00F670C5">
            <w:rPr>
              <w:rFonts w:ascii="Times New Roman" w:hAnsi="Times New Roman" w:cs="Times New Roman"/>
              <w:lang w:val="es-CO"/>
            </w:rPr>
            <w:t xml:space="preserve">, </w:t>
          </w:r>
          <w:r w:rsidRPr="00F670C5">
            <w:rPr>
              <w:rFonts w:ascii="Times New Roman" w:hAnsi="Times New Roman" w:cs="Times New Roman"/>
              <w:i/>
              <w:lang w:val="es-CO"/>
            </w:rPr>
            <w:t>XXXIV</w:t>
          </w:r>
          <w:r w:rsidRPr="00F670C5">
            <w:rPr>
              <w:rFonts w:ascii="Times New Roman" w:hAnsi="Times New Roman" w:cs="Times New Roman"/>
              <w:lang w:val="es-CO"/>
            </w:rPr>
            <w:t>(1). https://www.redalyc.org/pdf/806/80628403009.pdf</w:t>
          </w:r>
          <w:r w:rsidR="0026557E" w:rsidRPr="00F670C5">
            <w:rPr>
              <w:rFonts w:ascii="Times New Roman" w:hAnsi="Times New Roman" w:cs="Times New Roman"/>
              <w:lang w:val="es-CO"/>
            </w:rPr>
            <w:fldChar w:fldCharType="end"/>
          </w:r>
        </w:p>
      </w:sdtContent>
    </w:sdt>
    <w:p w14:paraId="541BA42A" w14:textId="77777777" w:rsidR="0026557E" w:rsidRPr="0026557E" w:rsidRDefault="0026557E" w:rsidP="0026557E">
      <w:pPr>
        <w:rPr>
          <w:lang w:val="es-CO"/>
        </w:rPr>
      </w:pPr>
    </w:p>
    <w:sectPr w:rsidR="0026557E" w:rsidRPr="0026557E">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89FCE0" w14:textId="77777777" w:rsidR="009E72F3" w:rsidRDefault="009E72F3" w:rsidP="0000206C">
      <w:pPr>
        <w:spacing w:after="0" w:line="240" w:lineRule="auto"/>
      </w:pPr>
      <w:r>
        <w:separator/>
      </w:r>
    </w:p>
  </w:endnote>
  <w:endnote w:type="continuationSeparator" w:id="0">
    <w:p w14:paraId="5B33113B" w14:textId="77777777" w:rsidR="009E72F3" w:rsidRDefault="009E72F3" w:rsidP="000020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05BAE" w14:textId="77777777" w:rsidR="0000206C" w:rsidRDefault="0000206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5C04E" w14:textId="77777777" w:rsidR="0000206C" w:rsidRDefault="0000206C">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7B38D" w14:textId="77777777" w:rsidR="0000206C" w:rsidRDefault="0000206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826DC" w14:textId="77777777" w:rsidR="009E72F3" w:rsidRDefault="009E72F3" w:rsidP="0000206C">
      <w:pPr>
        <w:spacing w:after="0" w:line="240" w:lineRule="auto"/>
      </w:pPr>
      <w:r>
        <w:separator/>
      </w:r>
    </w:p>
  </w:footnote>
  <w:footnote w:type="continuationSeparator" w:id="0">
    <w:p w14:paraId="0BF1EFA8" w14:textId="77777777" w:rsidR="009E72F3" w:rsidRDefault="009E72F3" w:rsidP="000020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A4DE0" w14:textId="77777777" w:rsidR="0000206C" w:rsidRDefault="0000206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85626" w14:textId="77777777" w:rsidR="0000206C" w:rsidRDefault="0000206C">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5C6EA" w14:textId="77777777" w:rsidR="0000206C" w:rsidRDefault="0000206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9F5E69"/>
    <w:multiLevelType w:val="multilevel"/>
    <w:tmpl w:val="3842CC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7DD3554"/>
    <w:multiLevelType w:val="hybridMultilevel"/>
    <w:tmpl w:val="1958A5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286C57"/>
    <w:multiLevelType w:val="multilevel"/>
    <w:tmpl w:val="AE02FB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2CF776F"/>
    <w:multiLevelType w:val="hybridMultilevel"/>
    <w:tmpl w:val="706C51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44B226A3"/>
    <w:multiLevelType w:val="hybridMultilevel"/>
    <w:tmpl w:val="F1A00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B427231"/>
    <w:multiLevelType w:val="hybridMultilevel"/>
    <w:tmpl w:val="7598DDE4"/>
    <w:lvl w:ilvl="0" w:tplc="274CD2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57C57B6D"/>
    <w:multiLevelType w:val="multilevel"/>
    <w:tmpl w:val="A20AE19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70E43AA9"/>
    <w:multiLevelType w:val="multilevel"/>
    <w:tmpl w:val="AE02FB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71047479">
    <w:abstractNumId w:val="0"/>
  </w:num>
  <w:num w:numId="2" w16cid:durableId="335038990">
    <w:abstractNumId w:val="4"/>
  </w:num>
  <w:num w:numId="3" w16cid:durableId="950941115">
    <w:abstractNumId w:val="3"/>
  </w:num>
  <w:num w:numId="4" w16cid:durableId="1465199348">
    <w:abstractNumId w:val="5"/>
  </w:num>
  <w:num w:numId="5" w16cid:durableId="29690693">
    <w:abstractNumId w:val="6"/>
  </w:num>
  <w:num w:numId="6" w16cid:durableId="1791122021">
    <w:abstractNumId w:val="1"/>
  </w:num>
  <w:num w:numId="7" w16cid:durableId="1156648554">
    <w:abstractNumId w:val="2"/>
  </w:num>
  <w:num w:numId="8" w16cid:durableId="9888238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06C"/>
    <w:rsid w:val="0000206C"/>
    <w:rsid w:val="000C2460"/>
    <w:rsid w:val="0026557E"/>
    <w:rsid w:val="002E76BE"/>
    <w:rsid w:val="00472ED3"/>
    <w:rsid w:val="004F1587"/>
    <w:rsid w:val="004F34B8"/>
    <w:rsid w:val="00707481"/>
    <w:rsid w:val="00752AAE"/>
    <w:rsid w:val="00852032"/>
    <w:rsid w:val="0087540A"/>
    <w:rsid w:val="008906E5"/>
    <w:rsid w:val="009E72F3"/>
    <w:rsid w:val="009F646D"/>
    <w:rsid w:val="00A90D3E"/>
    <w:rsid w:val="00CE4D80"/>
    <w:rsid w:val="00D01959"/>
    <w:rsid w:val="00F670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BEDBC6"/>
  <w15:chartTrackingRefBased/>
  <w15:docId w15:val="{DA551B48-74BF-49DC-A64B-770267E3B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472ED3"/>
    <w:pPr>
      <w:keepNext/>
      <w:keepLines/>
      <w:spacing w:before="240" w:after="0"/>
      <w:outlineLvl w:val="0"/>
    </w:pPr>
    <w:rPr>
      <w:rFonts w:ascii="Times New Roman" w:eastAsiaTheme="majorEastAsia" w:hAnsi="Times New Roman" w:cstheme="majorBidi"/>
      <w:b/>
      <w:sz w:val="24"/>
      <w:szCs w:val="32"/>
    </w:rPr>
  </w:style>
  <w:style w:type="paragraph" w:styleId="Ttulo2">
    <w:name w:val="heading 2"/>
    <w:basedOn w:val="Normal"/>
    <w:next w:val="Normal"/>
    <w:link w:val="Ttulo2Car"/>
    <w:uiPriority w:val="9"/>
    <w:unhideWhenUsed/>
    <w:qFormat/>
    <w:rsid w:val="004F34B8"/>
    <w:pPr>
      <w:keepNext/>
      <w:keepLines/>
      <w:spacing w:before="40" w:after="0"/>
      <w:outlineLvl w:val="1"/>
    </w:pPr>
    <w:rPr>
      <w:rFonts w:ascii="Times New Roman" w:eastAsiaTheme="majorEastAsia" w:hAnsi="Times New Roman" w:cstheme="majorBidi"/>
      <w:b/>
      <w:sz w:val="24"/>
      <w:szCs w:val="26"/>
    </w:rPr>
  </w:style>
  <w:style w:type="paragraph" w:styleId="Ttulo3">
    <w:name w:val="heading 3"/>
    <w:basedOn w:val="Normal"/>
    <w:next w:val="Normal"/>
    <w:link w:val="Ttulo3Car"/>
    <w:uiPriority w:val="9"/>
    <w:unhideWhenUsed/>
    <w:qFormat/>
    <w:rsid w:val="004F34B8"/>
    <w:pPr>
      <w:keepNext/>
      <w:keepLines/>
      <w:spacing w:before="40" w:after="0"/>
      <w:outlineLvl w:val="2"/>
    </w:pPr>
    <w:rPr>
      <w:rFonts w:ascii="Times New Roman" w:eastAsiaTheme="majorEastAsia" w:hAnsi="Times New Roman" w:cstheme="majorBidi"/>
      <w:b/>
      <w:sz w:val="24"/>
      <w:szCs w:val="24"/>
    </w:rPr>
  </w:style>
  <w:style w:type="paragraph" w:styleId="Ttulo4">
    <w:name w:val="heading 4"/>
    <w:basedOn w:val="Normal"/>
    <w:next w:val="Normal"/>
    <w:link w:val="Ttulo4Car"/>
    <w:uiPriority w:val="9"/>
    <w:semiHidden/>
    <w:unhideWhenUsed/>
    <w:qFormat/>
    <w:rsid w:val="0000206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00206C"/>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00206C"/>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00206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00206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00206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00206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table" w:styleId="Tablanormal2">
    <w:name w:val="Plain Table 2"/>
    <w:basedOn w:val="Tablanormal"/>
    <w:uiPriority w:val="42"/>
    <w:rsid w:val="0000206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CitaviBibliographyEntry">
    <w:name w:val="Citavi Bibliography Entry"/>
    <w:basedOn w:val="Normal"/>
    <w:link w:val="CitaviBibliographyEntryCar"/>
    <w:uiPriority w:val="99"/>
    <w:rsid w:val="0000206C"/>
    <w:pPr>
      <w:tabs>
        <w:tab w:val="left" w:pos="720"/>
      </w:tabs>
      <w:spacing w:after="0"/>
      <w:ind w:left="720" w:hanging="720"/>
    </w:pPr>
  </w:style>
  <w:style w:type="character" w:customStyle="1" w:styleId="CitaviBibliographyEntryCar">
    <w:name w:val="Citavi Bibliography Entry Car"/>
    <w:basedOn w:val="Fuentedeprrafopredeter"/>
    <w:link w:val="CitaviBibliographyEntry"/>
    <w:uiPriority w:val="99"/>
    <w:rsid w:val="0000206C"/>
  </w:style>
  <w:style w:type="paragraph" w:customStyle="1" w:styleId="CitaviBibliographyHeading">
    <w:name w:val="Citavi Bibliography Heading"/>
    <w:basedOn w:val="Ttulo1"/>
    <w:link w:val="CitaviBibliographyHeadingCar"/>
    <w:uiPriority w:val="99"/>
    <w:rsid w:val="0000206C"/>
  </w:style>
  <w:style w:type="character" w:customStyle="1" w:styleId="CitaviBibliographyHeadingCar">
    <w:name w:val="Citavi Bibliography Heading Car"/>
    <w:basedOn w:val="Fuentedeprrafopredeter"/>
    <w:link w:val="CitaviBibliographyHeading"/>
    <w:uiPriority w:val="99"/>
    <w:rsid w:val="0000206C"/>
    <w:rPr>
      <w:rFonts w:ascii="Times New Roman" w:eastAsiaTheme="majorEastAsia" w:hAnsi="Times New Roman" w:cstheme="majorBidi"/>
      <w:b/>
      <w:sz w:val="24"/>
      <w:szCs w:val="32"/>
    </w:rPr>
  </w:style>
  <w:style w:type="character" w:customStyle="1" w:styleId="Ttulo1Car">
    <w:name w:val="Título 1 Car"/>
    <w:basedOn w:val="Fuentedeprrafopredeter"/>
    <w:link w:val="Ttulo1"/>
    <w:uiPriority w:val="9"/>
    <w:rsid w:val="00472ED3"/>
    <w:rPr>
      <w:rFonts w:ascii="Times New Roman" w:eastAsiaTheme="majorEastAsia" w:hAnsi="Times New Roman" w:cstheme="majorBidi"/>
      <w:b/>
      <w:sz w:val="24"/>
      <w:szCs w:val="32"/>
    </w:rPr>
  </w:style>
  <w:style w:type="paragraph" w:customStyle="1" w:styleId="CitaviChapterBibliographyHeading">
    <w:name w:val="Citavi Chapter Bibliography Heading"/>
    <w:basedOn w:val="Ttulo2"/>
    <w:link w:val="CitaviChapterBibliographyHeadingCar"/>
    <w:uiPriority w:val="99"/>
    <w:rsid w:val="0000206C"/>
  </w:style>
  <w:style w:type="character" w:customStyle="1" w:styleId="CitaviChapterBibliographyHeadingCar">
    <w:name w:val="Citavi Chapter Bibliography Heading Car"/>
    <w:basedOn w:val="Fuentedeprrafopredeter"/>
    <w:link w:val="CitaviChapterBibliographyHeading"/>
    <w:uiPriority w:val="99"/>
    <w:rsid w:val="0000206C"/>
    <w:rPr>
      <w:rFonts w:asciiTheme="majorHAnsi" w:eastAsiaTheme="majorEastAsia" w:hAnsiTheme="majorHAnsi" w:cstheme="majorBidi"/>
      <w:color w:val="2F5496" w:themeColor="accent1" w:themeShade="BF"/>
      <w:sz w:val="26"/>
      <w:szCs w:val="26"/>
    </w:rPr>
  </w:style>
  <w:style w:type="character" w:customStyle="1" w:styleId="Ttulo2Car">
    <w:name w:val="Título 2 Car"/>
    <w:basedOn w:val="Fuentedeprrafopredeter"/>
    <w:link w:val="Ttulo2"/>
    <w:uiPriority w:val="9"/>
    <w:rsid w:val="004F34B8"/>
    <w:rPr>
      <w:rFonts w:ascii="Times New Roman" w:eastAsiaTheme="majorEastAsia" w:hAnsi="Times New Roman" w:cstheme="majorBidi"/>
      <w:b/>
      <w:sz w:val="24"/>
      <w:szCs w:val="26"/>
    </w:rPr>
  </w:style>
  <w:style w:type="paragraph" w:customStyle="1" w:styleId="CitaviBibliographySubheading1">
    <w:name w:val="Citavi Bibliography Subheading 1"/>
    <w:basedOn w:val="Ttulo2"/>
    <w:link w:val="CitaviBibliographySubheading1Car"/>
    <w:uiPriority w:val="99"/>
    <w:rsid w:val="0000206C"/>
    <w:pPr>
      <w:outlineLvl w:val="9"/>
    </w:pPr>
    <w:rPr>
      <w:rFonts w:cs="Times New Roman"/>
      <w:szCs w:val="24"/>
      <w:lang w:val="es-CO"/>
    </w:rPr>
  </w:style>
  <w:style w:type="character" w:customStyle="1" w:styleId="CitaviBibliographySubheading1Car">
    <w:name w:val="Citavi Bibliography Subheading 1 Car"/>
    <w:basedOn w:val="Fuentedeprrafopredeter"/>
    <w:link w:val="CitaviBibliographySubheading1"/>
    <w:uiPriority w:val="99"/>
    <w:rsid w:val="0000206C"/>
    <w:rPr>
      <w:rFonts w:ascii="Times New Roman" w:eastAsiaTheme="majorEastAsia" w:hAnsi="Times New Roman" w:cs="Times New Roman"/>
      <w:b/>
      <w:sz w:val="24"/>
      <w:szCs w:val="24"/>
      <w:lang w:val="es-CO"/>
    </w:rPr>
  </w:style>
  <w:style w:type="paragraph" w:customStyle="1" w:styleId="CitaviBibliographySubheading2">
    <w:name w:val="Citavi Bibliography Subheading 2"/>
    <w:basedOn w:val="Ttulo3"/>
    <w:link w:val="CitaviBibliographySubheading2Car"/>
    <w:uiPriority w:val="99"/>
    <w:rsid w:val="0000206C"/>
    <w:pPr>
      <w:outlineLvl w:val="9"/>
    </w:pPr>
    <w:rPr>
      <w:rFonts w:cs="Times New Roman"/>
      <w:lang w:val="es-CO"/>
    </w:rPr>
  </w:style>
  <w:style w:type="character" w:customStyle="1" w:styleId="CitaviBibliographySubheading2Car">
    <w:name w:val="Citavi Bibliography Subheading 2 Car"/>
    <w:basedOn w:val="Fuentedeprrafopredeter"/>
    <w:link w:val="CitaviBibliographySubheading2"/>
    <w:uiPriority w:val="99"/>
    <w:rsid w:val="0000206C"/>
    <w:rPr>
      <w:rFonts w:ascii="Times New Roman" w:eastAsiaTheme="majorEastAsia" w:hAnsi="Times New Roman" w:cs="Times New Roman"/>
      <w:b/>
      <w:sz w:val="24"/>
      <w:szCs w:val="24"/>
      <w:lang w:val="es-CO"/>
    </w:rPr>
  </w:style>
  <w:style w:type="character" w:customStyle="1" w:styleId="Ttulo3Car">
    <w:name w:val="Título 3 Car"/>
    <w:basedOn w:val="Fuentedeprrafopredeter"/>
    <w:link w:val="Ttulo3"/>
    <w:uiPriority w:val="9"/>
    <w:rsid w:val="004F34B8"/>
    <w:rPr>
      <w:rFonts w:ascii="Times New Roman" w:eastAsiaTheme="majorEastAsia" w:hAnsi="Times New Roman" w:cstheme="majorBidi"/>
      <w:b/>
      <w:sz w:val="24"/>
      <w:szCs w:val="24"/>
    </w:rPr>
  </w:style>
  <w:style w:type="paragraph" w:customStyle="1" w:styleId="CitaviBibliographySubheading3">
    <w:name w:val="Citavi Bibliography Subheading 3"/>
    <w:basedOn w:val="Ttulo4"/>
    <w:link w:val="CitaviBibliographySubheading3Car"/>
    <w:uiPriority w:val="99"/>
    <w:rsid w:val="0000206C"/>
    <w:pPr>
      <w:outlineLvl w:val="9"/>
    </w:pPr>
    <w:rPr>
      <w:rFonts w:ascii="Times New Roman" w:hAnsi="Times New Roman" w:cs="Times New Roman"/>
      <w:sz w:val="24"/>
      <w:szCs w:val="24"/>
      <w:lang w:val="es-CO"/>
    </w:rPr>
  </w:style>
  <w:style w:type="character" w:customStyle="1" w:styleId="CitaviBibliographySubheading3Car">
    <w:name w:val="Citavi Bibliography Subheading 3 Car"/>
    <w:basedOn w:val="Fuentedeprrafopredeter"/>
    <w:link w:val="CitaviBibliographySubheading3"/>
    <w:uiPriority w:val="99"/>
    <w:rsid w:val="0000206C"/>
    <w:rPr>
      <w:rFonts w:ascii="Times New Roman" w:eastAsiaTheme="majorEastAsia" w:hAnsi="Times New Roman" w:cs="Times New Roman"/>
      <w:i/>
      <w:iCs/>
      <w:color w:val="2F5496" w:themeColor="accent1" w:themeShade="BF"/>
      <w:sz w:val="24"/>
      <w:szCs w:val="24"/>
      <w:lang w:val="es-CO"/>
    </w:rPr>
  </w:style>
  <w:style w:type="character" w:customStyle="1" w:styleId="Ttulo4Car">
    <w:name w:val="Título 4 Car"/>
    <w:basedOn w:val="Fuentedeprrafopredeter"/>
    <w:link w:val="Ttulo4"/>
    <w:uiPriority w:val="9"/>
    <w:semiHidden/>
    <w:rsid w:val="0000206C"/>
    <w:rPr>
      <w:rFonts w:asciiTheme="majorHAnsi" w:eastAsiaTheme="majorEastAsia" w:hAnsiTheme="majorHAnsi" w:cstheme="majorBidi"/>
      <w:i/>
      <w:iCs/>
      <w:color w:val="2F5496" w:themeColor="accent1" w:themeShade="BF"/>
    </w:rPr>
  </w:style>
  <w:style w:type="paragraph" w:customStyle="1" w:styleId="CitaviBibliographySubheading4">
    <w:name w:val="Citavi Bibliography Subheading 4"/>
    <w:basedOn w:val="Ttulo5"/>
    <w:link w:val="CitaviBibliographySubheading4Car"/>
    <w:uiPriority w:val="99"/>
    <w:rsid w:val="0000206C"/>
    <w:pPr>
      <w:outlineLvl w:val="9"/>
    </w:pPr>
    <w:rPr>
      <w:rFonts w:ascii="Times New Roman" w:hAnsi="Times New Roman" w:cs="Times New Roman"/>
      <w:sz w:val="24"/>
      <w:szCs w:val="24"/>
      <w:lang w:val="es-CO"/>
    </w:rPr>
  </w:style>
  <w:style w:type="character" w:customStyle="1" w:styleId="CitaviBibliographySubheading4Car">
    <w:name w:val="Citavi Bibliography Subheading 4 Car"/>
    <w:basedOn w:val="Fuentedeprrafopredeter"/>
    <w:link w:val="CitaviBibliographySubheading4"/>
    <w:uiPriority w:val="99"/>
    <w:rsid w:val="0000206C"/>
    <w:rPr>
      <w:rFonts w:ascii="Times New Roman" w:eastAsiaTheme="majorEastAsia" w:hAnsi="Times New Roman" w:cs="Times New Roman"/>
      <w:color w:val="2F5496" w:themeColor="accent1" w:themeShade="BF"/>
      <w:sz w:val="24"/>
      <w:szCs w:val="24"/>
      <w:lang w:val="es-CO"/>
    </w:rPr>
  </w:style>
  <w:style w:type="character" w:customStyle="1" w:styleId="Ttulo5Car">
    <w:name w:val="Título 5 Car"/>
    <w:basedOn w:val="Fuentedeprrafopredeter"/>
    <w:link w:val="Ttulo5"/>
    <w:uiPriority w:val="9"/>
    <w:semiHidden/>
    <w:rsid w:val="0000206C"/>
    <w:rPr>
      <w:rFonts w:asciiTheme="majorHAnsi" w:eastAsiaTheme="majorEastAsia" w:hAnsiTheme="majorHAnsi" w:cstheme="majorBidi"/>
      <w:color w:val="2F5496" w:themeColor="accent1" w:themeShade="BF"/>
    </w:rPr>
  </w:style>
  <w:style w:type="paragraph" w:customStyle="1" w:styleId="CitaviBibliographySubheading5">
    <w:name w:val="Citavi Bibliography Subheading 5"/>
    <w:basedOn w:val="Ttulo6"/>
    <w:link w:val="CitaviBibliographySubheading5Car"/>
    <w:uiPriority w:val="99"/>
    <w:rsid w:val="0000206C"/>
    <w:pPr>
      <w:outlineLvl w:val="9"/>
    </w:pPr>
    <w:rPr>
      <w:rFonts w:ascii="Times New Roman" w:hAnsi="Times New Roman" w:cs="Times New Roman"/>
      <w:sz w:val="24"/>
      <w:szCs w:val="24"/>
      <w:lang w:val="es-CO"/>
    </w:rPr>
  </w:style>
  <w:style w:type="character" w:customStyle="1" w:styleId="CitaviBibliographySubheading5Car">
    <w:name w:val="Citavi Bibliography Subheading 5 Car"/>
    <w:basedOn w:val="Fuentedeprrafopredeter"/>
    <w:link w:val="CitaviBibliographySubheading5"/>
    <w:uiPriority w:val="99"/>
    <w:rsid w:val="0000206C"/>
    <w:rPr>
      <w:rFonts w:ascii="Times New Roman" w:eastAsiaTheme="majorEastAsia" w:hAnsi="Times New Roman" w:cs="Times New Roman"/>
      <w:color w:val="1F3763" w:themeColor="accent1" w:themeShade="7F"/>
      <w:sz w:val="24"/>
      <w:szCs w:val="24"/>
      <w:lang w:val="es-CO"/>
    </w:rPr>
  </w:style>
  <w:style w:type="character" w:customStyle="1" w:styleId="Ttulo6Car">
    <w:name w:val="Título 6 Car"/>
    <w:basedOn w:val="Fuentedeprrafopredeter"/>
    <w:link w:val="Ttulo6"/>
    <w:uiPriority w:val="9"/>
    <w:semiHidden/>
    <w:rsid w:val="0000206C"/>
    <w:rPr>
      <w:rFonts w:asciiTheme="majorHAnsi" w:eastAsiaTheme="majorEastAsia" w:hAnsiTheme="majorHAnsi" w:cstheme="majorBidi"/>
      <w:color w:val="1F3763" w:themeColor="accent1" w:themeShade="7F"/>
    </w:rPr>
  </w:style>
  <w:style w:type="paragraph" w:customStyle="1" w:styleId="CitaviBibliographySubheading6">
    <w:name w:val="Citavi Bibliography Subheading 6"/>
    <w:basedOn w:val="Ttulo7"/>
    <w:link w:val="CitaviBibliographySubheading6Car"/>
    <w:uiPriority w:val="99"/>
    <w:rsid w:val="0000206C"/>
    <w:pPr>
      <w:outlineLvl w:val="9"/>
    </w:pPr>
    <w:rPr>
      <w:rFonts w:ascii="Times New Roman" w:hAnsi="Times New Roman" w:cs="Times New Roman"/>
      <w:sz w:val="24"/>
      <w:szCs w:val="24"/>
      <w:lang w:val="es-CO"/>
    </w:rPr>
  </w:style>
  <w:style w:type="character" w:customStyle="1" w:styleId="CitaviBibliographySubheading6Car">
    <w:name w:val="Citavi Bibliography Subheading 6 Car"/>
    <w:basedOn w:val="Fuentedeprrafopredeter"/>
    <w:link w:val="CitaviBibliographySubheading6"/>
    <w:uiPriority w:val="99"/>
    <w:rsid w:val="0000206C"/>
    <w:rPr>
      <w:rFonts w:ascii="Times New Roman" w:eastAsiaTheme="majorEastAsia" w:hAnsi="Times New Roman" w:cs="Times New Roman"/>
      <w:i/>
      <w:iCs/>
      <w:color w:val="1F3763" w:themeColor="accent1" w:themeShade="7F"/>
      <w:sz w:val="24"/>
      <w:szCs w:val="24"/>
      <w:lang w:val="es-CO"/>
    </w:rPr>
  </w:style>
  <w:style w:type="character" w:customStyle="1" w:styleId="Ttulo7Car">
    <w:name w:val="Título 7 Car"/>
    <w:basedOn w:val="Fuentedeprrafopredeter"/>
    <w:link w:val="Ttulo7"/>
    <w:uiPriority w:val="9"/>
    <w:semiHidden/>
    <w:rsid w:val="0000206C"/>
    <w:rPr>
      <w:rFonts w:asciiTheme="majorHAnsi" w:eastAsiaTheme="majorEastAsia" w:hAnsiTheme="majorHAnsi" w:cstheme="majorBidi"/>
      <w:i/>
      <w:iCs/>
      <w:color w:val="1F3763" w:themeColor="accent1" w:themeShade="7F"/>
    </w:rPr>
  </w:style>
  <w:style w:type="paragraph" w:customStyle="1" w:styleId="CitaviBibliographySubheading7">
    <w:name w:val="Citavi Bibliography Subheading 7"/>
    <w:basedOn w:val="Ttulo8"/>
    <w:link w:val="CitaviBibliographySubheading7Car"/>
    <w:uiPriority w:val="99"/>
    <w:rsid w:val="0000206C"/>
    <w:pPr>
      <w:outlineLvl w:val="9"/>
    </w:pPr>
    <w:rPr>
      <w:rFonts w:ascii="Times New Roman" w:hAnsi="Times New Roman" w:cs="Times New Roman"/>
      <w:sz w:val="24"/>
      <w:szCs w:val="24"/>
      <w:lang w:val="es-CO"/>
    </w:rPr>
  </w:style>
  <w:style w:type="character" w:customStyle="1" w:styleId="CitaviBibliographySubheading7Car">
    <w:name w:val="Citavi Bibliography Subheading 7 Car"/>
    <w:basedOn w:val="Fuentedeprrafopredeter"/>
    <w:link w:val="CitaviBibliographySubheading7"/>
    <w:uiPriority w:val="99"/>
    <w:rsid w:val="0000206C"/>
    <w:rPr>
      <w:rFonts w:ascii="Times New Roman" w:eastAsiaTheme="majorEastAsia" w:hAnsi="Times New Roman" w:cs="Times New Roman"/>
      <w:color w:val="272727" w:themeColor="text1" w:themeTint="D8"/>
      <w:sz w:val="24"/>
      <w:szCs w:val="24"/>
      <w:lang w:val="es-CO"/>
    </w:rPr>
  </w:style>
  <w:style w:type="character" w:customStyle="1" w:styleId="Ttulo8Car">
    <w:name w:val="Título 8 Car"/>
    <w:basedOn w:val="Fuentedeprrafopredeter"/>
    <w:link w:val="Ttulo8"/>
    <w:uiPriority w:val="9"/>
    <w:semiHidden/>
    <w:rsid w:val="0000206C"/>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Ttulo9"/>
    <w:link w:val="CitaviBibliographySubheading8Car"/>
    <w:uiPriority w:val="99"/>
    <w:rsid w:val="0000206C"/>
    <w:pPr>
      <w:outlineLvl w:val="9"/>
    </w:pPr>
    <w:rPr>
      <w:rFonts w:ascii="Times New Roman" w:hAnsi="Times New Roman" w:cs="Times New Roman"/>
      <w:sz w:val="24"/>
      <w:szCs w:val="24"/>
      <w:lang w:val="es-CO"/>
    </w:rPr>
  </w:style>
  <w:style w:type="character" w:customStyle="1" w:styleId="CitaviBibliographySubheading8Car">
    <w:name w:val="Citavi Bibliography Subheading 8 Car"/>
    <w:basedOn w:val="Fuentedeprrafopredeter"/>
    <w:link w:val="CitaviBibliographySubheading8"/>
    <w:uiPriority w:val="99"/>
    <w:rsid w:val="0000206C"/>
    <w:rPr>
      <w:rFonts w:ascii="Times New Roman" w:eastAsiaTheme="majorEastAsia" w:hAnsi="Times New Roman" w:cs="Times New Roman"/>
      <w:i/>
      <w:iCs/>
      <w:color w:val="272727" w:themeColor="text1" w:themeTint="D8"/>
      <w:sz w:val="24"/>
      <w:szCs w:val="24"/>
      <w:lang w:val="es-CO"/>
    </w:rPr>
  </w:style>
  <w:style w:type="character" w:customStyle="1" w:styleId="Ttulo9Car">
    <w:name w:val="Título 9 Car"/>
    <w:basedOn w:val="Fuentedeprrafopredeter"/>
    <w:link w:val="Ttulo9"/>
    <w:uiPriority w:val="9"/>
    <w:semiHidden/>
    <w:rsid w:val="0000206C"/>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00206C"/>
    <w:rPr>
      <w:color w:val="808080"/>
    </w:rPr>
  </w:style>
  <w:style w:type="paragraph" w:styleId="Descripcin">
    <w:name w:val="caption"/>
    <w:basedOn w:val="Normal"/>
    <w:next w:val="Normal"/>
    <w:uiPriority w:val="35"/>
    <w:unhideWhenUsed/>
    <w:qFormat/>
    <w:rsid w:val="0000206C"/>
    <w:pPr>
      <w:spacing w:after="200" w:line="240" w:lineRule="auto"/>
    </w:pPr>
    <w:rPr>
      <w:i/>
      <w:iCs/>
      <w:color w:val="44546A" w:themeColor="text2"/>
      <w:sz w:val="18"/>
      <w:szCs w:val="18"/>
    </w:rPr>
  </w:style>
  <w:style w:type="paragraph" w:styleId="Encabezado">
    <w:name w:val="header"/>
    <w:basedOn w:val="Normal"/>
    <w:link w:val="EncabezadoCar"/>
    <w:uiPriority w:val="99"/>
    <w:unhideWhenUsed/>
    <w:rsid w:val="0000206C"/>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00206C"/>
  </w:style>
  <w:style w:type="paragraph" w:styleId="Piedepgina">
    <w:name w:val="footer"/>
    <w:basedOn w:val="Normal"/>
    <w:link w:val="PiedepginaCar"/>
    <w:uiPriority w:val="99"/>
    <w:unhideWhenUsed/>
    <w:rsid w:val="0000206C"/>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00206C"/>
  </w:style>
  <w:style w:type="paragraph" w:styleId="Prrafodelista">
    <w:name w:val="List Paragraph"/>
    <w:aliases w:val="Titulo 3"/>
    <w:basedOn w:val="Normal"/>
    <w:link w:val="PrrafodelistaCar"/>
    <w:uiPriority w:val="34"/>
    <w:qFormat/>
    <w:rsid w:val="00A90D3E"/>
    <w:pPr>
      <w:ind w:left="720"/>
      <w:contextualSpacing/>
    </w:pPr>
    <w:rPr>
      <w:rFonts w:ascii="Times New Roman" w:eastAsia="Calibri" w:hAnsi="Times New Roman" w:cs="Calibri"/>
      <w:kern w:val="0"/>
      <w:sz w:val="24"/>
      <w:lang w:val="es-CO" w:eastAsia="es-CO"/>
      <w14:ligatures w14:val="none"/>
    </w:rPr>
  </w:style>
  <w:style w:type="character" w:customStyle="1" w:styleId="PrrafodelistaCar">
    <w:name w:val="Párrafo de lista Car"/>
    <w:aliases w:val="Titulo 3 Car"/>
    <w:basedOn w:val="Fuentedeprrafopredeter"/>
    <w:link w:val="Prrafodelista"/>
    <w:uiPriority w:val="34"/>
    <w:locked/>
    <w:rsid w:val="00A90D3E"/>
    <w:rPr>
      <w:rFonts w:ascii="Times New Roman" w:eastAsia="Calibri" w:hAnsi="Times New Roman" w:cs="Calibri"/>
      <w:kern w:val="0"/>
      <w:sz w:val="24"/>
      <w:lang w:val="es-CO"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18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71A03C28-0D02-4674-991C-81D7E4466795}"/>
      </w:docPartPr>
      <w:docPartBody>
        <w:p w:rsidR="00C357D2" w:rsidRDefault="004D158F">
          <w:r w:rsidRPr="00212B0B">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158F"/>
    <w:rsid w:val="00282992"/>
    <w:rsid w:val="004D158F"/>
    <w:rsid w:val="00C357D2"/>
    <w:rsid w:val="00FC79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4D158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13</Pages>
  <Words>3913</Words>
  <Characters>22305</Characters>
  <Application>Microsoft Office Word</Application>
  <DocSecurity>0</DocSecurity>
  <Lines>185</Lines>
  <Paragraphs>52</Paragraphs>
  <ScaleCrop>false</ScaleCrop>
  <Company/>
  <LinksUpToDate>false</LinksUpToDate>
  <CharactersWithSpaces>26166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LIZETH CACERES</dc:creator>
  <cp:keywords/>
  <dc:description/>
  <cp:lastModifiedBy>LIZETH CACERES</cp:lastModifiedBy>
  <cp:revision>12</cp:revision>
  <dcterms:created xsi:type="dcterms:W3CDTF">2025-07-06T07:29:00Z</dcterms:created>
  <dcterms:modified xsi:type="dcterms:W3CDTF">2025-07-30T05:57:00Z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7">
    <vt:lpwstr>PROYECTO FINAL_LL GRIS_TT_MAYO_2025</vt:lpwstr>
  </property>
  <property fmtid="{D5CDD505-2E9C-101B-9397-08002B2CF9AE}" pid="3" name="CitaviDocumentProperty_0">
    <vt:lpwstr>81add08b-4150-4ebc-9c16-80f37013fc0a</vt:lpwstr>
  </property>
  <property fmtid="{D5CDD505-2E9C-101B-9397-08002B2CF9AE}" pid="4" name="CitaviDocumentProperty_1">
    <vt:lpwstr>7.0.7.1</vt:lpwstr>
  </property>
  <property fmtid="{D5CDD505-2E9C-101B-9397-08002B2CF9AE}" pid="5" name="CitaviDocumentProperty_8">
    <vt:lpwstr>C:\Users\Gessi\Documents\Citavi 7\Citavi 7 User Data\Projects\PROYECTO FINAL_LL GRIS_TT_MAYO_2025\PROYECTO FINAL_LL GRIS_TT_MAYO_2025.ctv6</vt:lpwstr>
  </property>
</Properties>
</file>